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8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526"/>
        <w:gridCol w:w="1457"/>
        <w:gridCol w:w="985"/>
        <w:gridCol w:w="1233"/>
        <w:gridCol w:w="1005"/>
        <w:gridCol w:w="943"/>
        <w:gridCol w:w="1156"/>
        <w:gridCol w:w="106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8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技术需求表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奥林巴斯消化内镜系统保修服务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数量（项）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需求类别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符合性要求</w:t>
            </w:r>
            <w:r>
              <w:rPr>
                <w:rStyle w:val="8"/>
                <w:rFonts w:hAnsi="宋体"/>
                <w:lang w:val="en-US" w:eastAsia="zh-CN" w:bidi="ar"/>
              </w:rPr>
              <w:t>（*号指标或其他必须响应条款）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服务要求1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lang w:val="en-US" w:eastAsia="zh-CN" w:bidi="ar"/>
              </w:rPr>
              <w:t>1.</w:t>
            </w:r>
            <w:r>
              <w:rPr>
                <w:rStyle w:val="10"/>
                <w:rFonts w:hint="eastAsia" w:ascii="宋体" w:hAnsi="宋体" w:eastAsia="宋体" w:cs="宋体"/>
                <w:lang w:val="en-US" w:eastAsia="zh-CN" w:bidi="ar"/>
              </w:rPr>
              <w:t>154</w:t>
            </w:r>
            <w:r>
              <w:rPr>
                <w:rStyle w:val="9"/>
                <w:rFonts w:hint="eastAsia" w:ascii="宋体" w:hAnsi="宋体" w:eastAsia="宋体" w:cs="宋体"/>
                <w:lang w:val="en-US" w:eastAsia="zh-CN" w:bidi="ar"/>
              </w:rPr>
              <w:t>件参保设备(主机，光源，软式内镜，原厂周边设备。详见附件7）零备件的维修。耗材（光源灯泡，超声小探头等）不在此范围内</w:t>
            </w:r>
            <w:r>
              <w:rPr>
                <w:rStyle w:val="9"/>
                <w:rFonts w:hint="eastAsia" w:ascii="宋体" w:hAnsi="宋体" w:eastAsia="宋体" w:cs="宋体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lang w:val="en-US" w:eastAsia="zh-CN" w:bidi="ar"/>
              </w:rPr>
              <w:t>2.软件维护和更新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服务要求2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每年至少提供4次保养服务,每年向医院提供上述服务的记录单据。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资格性要求</w:t>
            </w:r>
            <w:r>
              <w:rPr>
                <w:rStyle w:val="8"/>
                <w:rFonts w:hAnsi="宋体"/>
                <w:lang w:val="en-US" w:eastAsia="zh-CN" w:bidi="ar"/>
              </w:rPr>
              <w:t>（指对产品或企业投标资格的要求）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维保厂商须具有医疗设备维修企业资格(即营业执照的经营范围包括医疗器械维修)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其他资格性条款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北京地区具备同型号设备的维保经验，用户≥3家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维保厂商须在过去五年内无重大维修事故及法律纠纷发生。提供经年检有效的营业执照。并在北京市内设有长期稳定的服务机构≥2年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团队人员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具备资质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供应商国内拥有专业的技术支持团队≥3人，至少1名要求具备大于5年的投标人公司连续服务年限。配备全职维修工程师≥5名，行业培训考核合格授权资质证。可以满足远程技术支持。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</w:t>
            </w: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医疗设备服务资质认证。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行业培训考核合格授权资质证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•4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免费维修服务支持，2小时内做出响应，在零件齐备后72小时内完成小修，15个工作日内完成大修。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具备客户服务专线电话服务系统，电话报修24小时*365天开通，并有专人接听。每当保修设备出现故障时，供应商按照合同约定时间相应，及时派遣工程师进行电话指导或赴现场维修。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•6</w:t>
            </w: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1、使用培训应满足主要操作医护人员熟练操作设备。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2、每年提供一次工程师培训，应满足我院工程师可自行基础保养和基本故障判断。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*7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1.所更换的备件必须是经检验合格的零备件，满足设备运行要求，不会给设备带来危害。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2.维修使用配件应为原厂测试合格原件，需要提供原厂出库单，并保证设备维修后的技术参数与原机数据相同。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3.在维保合同期内，对于任何由机器正常使用引起的故障及损坏，免费提供无限次紧急维修服务，节假日照常服务。                                                            4.维修备件确保100%供应保障且质保期大于等于6个月。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•8</w:t>
            </w: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1、供应商必需在国内设有专业的设备零备件仓库，且符合以下要求：仓库总面积须≥500平方米。并提供相应的租房合同或房产证明资料。                                             2.所有零备件为原厂制造的标准全新备件。   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验收考核办法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1、保证设备全年开机率≥95%，按一年365天计算，即全年累计停机时间≤18天。若超出上述承诺停机天数，超出一天顺延2天保修。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2、每次维保任务完成后，维保工程师应及时提供工单复写联留存医工部门，并需使用科室和院方维保工程师的签字确认。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3、服务提供商应按年提供维保明细报告，更换的零配件应包含单次维修报价和保修期。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*10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2年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93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说明：1.加注“*”号的技术指标为关键指标，≥1项未达到招标文件要求，即做废标处理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11"/>
                <w:lang w:val="en-US" w:eastAsia="zh-CN" w:bidi="ar"/>
              </w:rPr>
              <w:t xml:space="preserve">      2.加注“</w:t>
            </w:r>
            <w:r>
              <w:rPr>
                <w:rStyle w:val="12"/>
                <w:lang w:val="en-US" w:eastAsia="zh-CN" w:bidi="ar"/>
              </w:rPr>
              <w:t>·</w:t>
            </w:r>
            <w:r>
              <w:rPr>
                <w:rStyle w:val="11"/>
                <w:lang w:val="en-US" w:eastAsia="zh-CN" w:bidi="ar"/>
              </w:rPr>
              <w:t>”号的技术指标为重要指标</w:t>
            </w:r>
            <w:r>
              <w:rPr>
                <w:rStyle w:val="11"/>
                <w:lang w:val="en-US" w:eastAsia="zh-CN" w:bidi="ar"/>
              </w:rPr>
              <w:br w:type="textWrapping"/>
            </w:r>
            <w:r>
              <w:rPr>
                <w:rStyle w:val="11"/>
                <w:lang w:val="en-US" w:eastAsia="zh-CN" w:bidi="ar"/>
              </w:rPr>
              <w:t xml:space="preserve">      3.加注“*”、“</w:t>
            </w:r>
            <w:r>
              <w:rPr>
                <w:rStyle w:val="12"/>
                <w:lang w:val="en-US" w:eastAsia="zh-CN" w:bidi="ar"/>
              </w:rPr>
              <w:t>·</w:t>
            </w:r>
            <w:r>
              <w:rPr>
                <w:rStyle w:val="11"/>
                <w:lang w:val="en-US" w:eastAsia="zh-CN" w:bidi="ar"/>
              </w:rPr>
              <w:t>”号的技术指标均需投标企业提供证明材料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134" w:right="1134" w:bottom="709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88" w:charSpace="-126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rFonts w:ascii="楷体_GB2312" w:eastAsia="楷体_GB2312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D76A7"/>
    <w:rsid w:val="714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71"/>
    <w:basedOn w:val="6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8">
    <w:name w:val="font101"/>
    <w:basedOn w:val="6"/>
    <w:qFormat/>
    <w:uiPriority w:val="0"/>
    <w:rPr>
      <w:rFonts w:ascii="楷体_GB2312" w:eastAsia="楷体_GB2312" w:cs="楷体_GB2312"/>
      <w:color w:val="000000"/>
      <w:sz w:val="24"/>
      <w:szCs w:val="24"/>
      <w:u w:val="none"/>
    </w:rPr>
  </w:style>
  <w:style w:type="character" w:customStyle="1" w:styleId="9">
    <w:name w:val="font12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0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91"/>
    <w:basedOn w:val="6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2023-01-31T01:31:00Z</dcterms:created>
  <dc:creator>Administrator</dc:creator>
  <cp:lastModifiedBy>Administrator</cp:lastModifiedBy>
  <dcterms:modified xsi:type="dcterms:W3CDTF">2023-01-31T01:33:24Z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