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434" w:type="dxa"/>
        <w:jc w:val="center"/>
        <w:tblInd w:w="3318" w:type="dxa"/>
        <w:shd w:val="clear"/>
        <w:tblLayout w:type="fixed"/>
        <w:tblCellMar>
          <w:top w:w="0" w:type="dxa"/>
          <w:left w:w="0" w:type="dxa"/>
          <w:bottom w:w="0" w:type="dxa"/>
          <w:right w:w="0" w:type="dxa"/>
        </w:tblCellMar>
      </w:tblPr>
      <w:tblGrid>
        <w:gridCol w:w="1384"/>
        <w:gridCol w:w="1644"/>
        <w:gridCol w:w="539"/>
        <w:gridCol w:w="1411"/>
        <w:gridCol w:w="1789"/>
        <w:gridCol w:w="2650"/>
        <w:gridCol w:w="1017"/>
      </w:tblGrid>
      <w:tr>
        <w:tblPrEx>
          <w:shd w:val="clear"/>
          <w:tblLayout w:type="fixed"/>
          <w:tblCellMar>
            <w:top w:w="0" w:type="dxa"/>
            <w:left w:w="0" w:type="dxa"/>
            <w:bottom w:w="0" w:type="dxa"/>
            <w:right w:w="0" w:type="dxa"/>
          </w:tblCellMar>
        </w:tblPrEx>
        <w:trPr>
          <w:trHeight w:val="1020" w:hRule="atLeast"/>
          <w:jc w:val="center"/>
        </w:trPr>
        <w:tc>
          <w:tcPr>
            <w:tcW w:w="10434"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bdr w:val="none" w:color="auto" w:sz="0" w:space="0"/>
                <w:lang w:val="en-US" w:eastAsia="zh-CN" w:bidi="ar"/>
              </w:rPr>
              <w:t>医疗设备技术需求确认表</w:t>
            </w:r>
          </w:p>
        </w:tc>
      </w:tr>
      <w:tr>
        <w:tblPrEx>
          <w:tblLayout w:type="fixed"/>
          <w:tblCellMar>
            <w:top w:w="0" w:type="dxa"/>
            <w:left w:w="0" w:type="dxa"/>
            <w:bottom w:w="0" w:type="dxa"/>
            <w:right w:w="0" w:type="dxa"/>
          </w:tblCellMar>
        </w:tblPrEx>
        <w:trPr>
          <w:trHeight w:val="84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设备名称</w:t>
            </w:r>
          </w:p>
        </w:tc>
        <w:tc>
          <w:tcPr>
            <w:tcW w:w="164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有创呼吸机</w:t>
            </w:r>
          </w:p>
        </w:tc>
        <w:tc>
          <w:tcPr>
            <w:tcW w:w="19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top"/>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总数量（台/套）</w:t>
            </w:r>
          </w:p>
        </w:tc>
        <w:tc>
          <w:tcPr>
            <w:tcW w:w="17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lang w:val="en-US" w:eastAsia="zh-CN"/>
              </w:rPr>
            </w:pPr>
            <w:r>
              <w:rPr>
                <w:rFonts w:hint="eastAsia" w:ascii="黑体" w:hAnsi="宋体" w:eastAsia="黑体" w:cs="黑体"/>
                <w:i w:val="0"/>
                <w:color w:val="000000"/>
                <w:sz w:val="24"/>
                <w:szCs w:val="24"/>
                <w:u w:val="none"/>
                <w:lang w:val="en-US" w:eastAsia="zh-CN"/>
              </w:rPr>
              <w:t>5</w:t>
            </w:r>
          </w:p>
        </w:tc>
        <w:tc>
          <w:tcPr>
            <w:tcW w:w="2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top"/>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预算总金额（万元）</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default" w:ascii="黑体" w:hAnsi="宋体" w:eastAsia="黑体" w:cs="黑体"/>
                <w:i w:val="0"/>
                <w:color w:val="000000"/>
                <w:sz w:val="24"/>
                <w:szCs w:val="24"/>
                <w:u w:val="none"/>
                <w:lang w:val="en-US" w:eastAsia="zh-CN"/>
              </w:rPr>
            </w:pPr>
            <w:r>
              <w:rPr>
                <w:rFonts w:hint="eastAsia" w:ascii="黑体" w:hAnsi="宋体" w:eastAsia="黑体" w:cs="黑体"/>
                <w:i w:val="0"/>
                <w:color w:val="000000"/>
                <w:sz w:val="24"/>
                <w:szCs w:val="24"/>
                <w:u w:val="none"/>
                <w:lang w:val="en-US" w:eastAsia="zh-CN"/>
              </w:rPr>
              <w:t>150</w:t>
            </w:r>
          </w:p>
        </w:tc>
      </w:tr>
      <w:tr>
        <w:tblPrEx>
          <w:tblLayout w:type="fixed"/>
          <w:tblCellMar>
            <w:top w:w="0" w:type="dxa"/>
            <w:left w:w="0" w:type="dxa"/>
            <w:bottom w:w="0" w:type="dxa"/>
            <w:right w:w="0" w:type="dxa"/>
          </w:tblCellMar>
        </w:tblPrEx>
        <w:trPr>
          <w:trHeight w:val="859"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幼圆" w:hAnsi="幼圆" w:eastAsia="幼圆" w:cs="幼圆"/>
                <w:b/>
                <w:bCs/>
                <w:i w:val="0"/>
                <w:color w:val="000000"/>
                <w:kern w:val="0"/>
                <w:sz w:val="24"/>
                <w:szCs w:val="24"/>
                <w:u w:val="none"/>
                <w:lang w:val="en-US" w:eastAsia="zh-CN" w:bidi="ar"/>
              </w:rPr>
              <w:t>序号</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幼圆" w:hAnsi="幼圆" w:eastAsia="幼圆" w:cs="幼圆"/>
                <w:b/>
                <w:i w:val="0"/>
                <w:color w:val="000000"/>
                <w:kern w:val="0"/>
                <w:sz w:val="24"/>
                <w:szCs w:val="24"/>
                <w:u w:val="none"/>
                <w:lang w:val="en-US" w:eastAsia="zh-CN" w:bidi="ar"/>
              </w:rPr>
              <w:t>技术和性能参数名称</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幼圆" w:hAnsi="幼圆" w:eastAsia="幼圆" w:cs="幼圆"/>
                <w:b/>
                <w:i w:val="0"/>
                <w:color w:val="000000"/>
                <w:kern w:val="0"/>
                <w:sz w:val="24"/>
                <w:szCs w:val="24"/>
                <w:u w:val="none"/>
                <w:lang w:val="en-US" w:eastAsia="zh-CN" w:bidi="ar"/>
              </w:rPr>
              <w:t>招标参数和性能要求</w:t>
            </w:r>
            <w:bookmarkStart w:id="0" w:name="_GoBack"/>
            <w:bookmarkEnd w:id="0"/>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幼圆" w:hAnsi="幼圆" w:eastAsia="幼圆" w:cs="幼圆"/>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基本要求</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用于患有长期呼吸功能障碍患者的辅助通气功能和危重症抢救，应用于老年及肿瘤患者</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资质认证</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具备CFDA认证和（FDA或CE）认证</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技术和性能参数</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*3.1.1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通气模式1</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容量控制通气模式</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*3.1.2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通气模式2</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压力控制通气模式</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*3.1.3</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通气模式3</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同步间歇指令通气模式</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*3.1.4</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通气模式4</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持续气道正压模式</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*3.1.5</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通气模式5</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双水平气道正压通气模式</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*3.1.6</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通气模式6</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无创通气模式</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·3.1.7</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通气模式7</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同步间歇指令通气＋压力支持通气</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潮气量</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(100－2000)ml，最大误差≤15%</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呼吸频率</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（4－80）次/分，最大误差≤10%或≤±1次/分（取绝对值大者）</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氧浓度:     </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（21－100)%，最大误差≤5%</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最大吸气流速</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≥180L/min</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升级及传输功能</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软硬件升级及数据传输能力，病人趋势数据可以通过接口直接输出</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补偿功能</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自动泄漏补偿功能</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评定功能</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脱机评定功能 </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自检功能</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开机自检、全面自检，压力传感器、流量传感器可自动标定</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监测功能</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肺功能监测</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实时动态监测气道阻力和肺顺应性</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实时波形监测功能</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压力－时间波形和流速－时间波形容量时间波形，趋势图</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3.10.3</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呼吸环</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可显示压力-容量环或流量-容量环</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流量传感器</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超声流量传感器或热丝流量传感器，非压差式传感器</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显示屏</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≥12英寸彩色显示器</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*3.13</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电池工作时间</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≥60分钟，可用电池开机工作，关机情况下可对电池充电</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*3.14</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吸气伺服</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吸气伺服机构不接受涡轮机</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*3.15</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长效氧电池</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顺磁氧传感器或超声氧传感器</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配置要求</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每台套</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主机</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≥1台</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呼吸管路</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≥2套（成人、儿童各一套）</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4.3</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湿化器</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专用台车</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≥1台</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支架</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≥1个</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4.6</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模拟肺</w:t>
            </w:r>
          </w:p>
        </w:tc>
        <w:tc>
          <w:tcPr>
            <w:tcW w:w="5850" w:type="dxa"/>
            <w:gridSpan w:val="3"/>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1017"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设备不良事件情况</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厂家提供设备近三年不良事件情况</w:t>
            </w:r>
          </w:p>
        </w:tc>
        <w:tc>
          <w:tcPr>
            <w:tcW w:w="1017"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21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物联网支持功能</w:t>
            </w:r>
          </w:p>
        </w:tc>
        <w:tc>
          <w:tcPr>
            <w:tcW w:w="585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联网要求</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具备物联网功能,能够通过有线或者无线的方式联网。数据内容包括设备运行状态和关键系统参数等。对于监护仪、呼吸机等生命支持类设备，应包括波形、体征、报警等信息；对于检验类等实验室设备，应包括系统关键参数和日志数据等信息；对于大型影像设备、超声设备等，应包括日志数据、扫描数据、设备运行状态等信息。</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技术文件</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设备厂商向院方提供详细的有关接口形式和数据传输协议的说明文档，交由物联网项目组验收,并配合院方解决设备联网相关问题。</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售后条款</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保修年限</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≥3年，保修期内开机率不低于95%（按365日/年计算，含节假日)，未达到要求的开机率天数，按双倍天数顺延保修期</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7.2</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预防性维修</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/定期维护保养</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保修期内按维修手册要求提供定期维护保养服务</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7.3</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维修响应时间</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维修到达现场时间≤0.5个工作日（京内）</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维修到达现场时间≤3个工作日（京外）</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7.4</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配件报价</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提供消耗性配件（年平均更换大于1次的配件）和高值配件（价格大于设备成交价5%以上）的报价清单，且高值配件报价之和不得高于设备成交价的110%</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7.5</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升级与软件维护</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保修期内免费升级和软件维护；保修期外，原软件维护仅收工时费</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7.6</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维修工时费计算方法及价格</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至少提供按小时计费和按故障点计费两种方式，用户可自行选择</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7.7</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专用工具、资料及其它</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bdr w:val="none" w:color="auto" w:sz="0" w:space="0"/>
                <w:lang w:val="en-US" w:eastAsia="zh-CN" w:bidi="ar"/>
              </w:rPr>
              <w:t>提供设备配套的维修专用工具</w:t>
            </w:r>
            <w:r>
              <w:rPr>
                <w:rStyle w:val="5"/>
                <w:bdr w:val="none" w:color="auto" w:sz="0" w:space="0"/>
                <w:lang w:val="en-US" w:eastAsia="zh-CN" w:bidi="ar"/>
              </w:rPr>
              <w:t>（如有）</w:t>
            </w:r>
            <w:r>
              <w:rPr>
                <w:rStyle w:val="4"/>
                <w:bdr w:val="none" w:color="auto" w:sz="0" w:space="0"/>
                <w:lang w:val="en-US" w:eastAsia="zh-CN" w:bidi="ar"/>
              </w:rPr>
              <w:t>，资料（操作手册、维修手册等）</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7.8</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培训</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提供使用培训和工程师培训（厂家自报方式）</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7.9</w:t>
            </w:r>
          </w:p>
        </w:tc>
        <w:tc>
          <w:tcPr>
            <w:tcW w:w="218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交货期</w:t>
            </w:r>
          </w:p>
        </w:tc>
        <w:tc>
          <w:tcPr>
            <w:tcW w:w="58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合同签订后3个月内交货</w:t>
            </w:r>
          </w:p>
        </w:tc>
        <w:tc>
          <w:tcPr>
            <w:tcW w:w="10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434"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8"/>
                <w:i w:val="0"/>
                <w:color w:val="000000"/>
                <w:lang w:val="en-US" w:eastAsia="zh-CN" w:bidi="ar"/>
              </w:rPr>
              <w:t>备注：1.加注“*”号的技术指标为关键指标，≥1项未达到招标文件要求，即做废标处理。</w:t>
            </w:r>
            <w:r>
              <w:rPr>
                <w:rStyle w:val="8"/>
                <w:i w:val="0"/>
                <w:color w:val="000000"/>
                <w:lang w:val="en-US" w:eastAsia="zh-CN" w:bidi="ar"/>
              </w:rPr>
              <w:br w:type="textWrapping"/>
            </w:r>
            <w:r>
              <w:rPr>
                <w:rStyle w:val="8"/>
                <w:i w:val="0"/>
                <w:color w:val="000000"/>
                <w:lang w:val="en-US" w:eastAsia="zh-CN" w:bidi="ar"/>
              </w:rPr>
              <w:t xml:space="preserve">      2.加注“·”号的技术指标为重要指标。</w:t>
            </w:r>
            <w:r>
              <w:rPr>
                <w:rStyle w:val="8"/>
                <w:i w:val="0"/>
                <w:color w:val="000000"/>
                <w:lang w:val="en-US" w:eastAsia="zh-CN" w:bidi="ar"/>
              </w:rPr>
              <w:br w:type="textWrapping"/>
            </w:r>
            <w:r>
              <w:rPr>
                <w:rStyle w:val="8"/>
                <w:i w:val="0"/>
                <w:color w:val="000000"/>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E81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51"/>
    <w:basedOn w:val="3"/>
    <w:uiPriority w:val="0"/>
    <w:rPr>
      <w:rFonts w:hint="eastAsia" w:ascii="宋体" w:hAnsi="宋体" w:eastAsia="宋体" w:cs="宋体"/>
      <w:color w:val="000000"/>
      <w:sz w:val="22"/>
      <w:szCs w:val="22"/>
      <w:u w:val="none"/>
    </w:rPr>
  </w:style>
  <w:style w:type="character" w:customStyle="1" w:styleId="5">
    <w:name w:val="font61"/>
    <w:basedOn w:val="3"/>
    <w:uiPriority w:val="0"/>
    <w:rPr>
      <w:rFonts w:hint="eastAsia" w:ascii="宋体" w:hAnsi="宋体" w:eastAsia="宋体" w:cs="宋体"/>
      <w:color w:val="000000"/>
      <w:sz w:val="22"/>
      <w:szCs w:val="22"/>
      <w:u w:val="none"/>
    </w:rPr>
  </w:style>
  <w:style w:type="character" w:customStyle="1" w:styleId="6">
    <w:name w:val="font41"/>
    <w:basedOn w:val="3"/>
    <w:uiPriority w:val="0"/>
    <w:rPr>
      <w:rFonts w:hint="eastAsia" w:ascii="宋体" w:hAnsi="宋体" w:eastAsia="宋体" w:cs="宋体"/>
      <w:color w:val="000000"/>
      <w:sz w:val="24"/>
      <w:szCs w:val="24"/>
      <w:u w:val="none"/>
    </w:rPr>
  </w:style>
  <w:style w:type="character" w:customStyle="1" w:styleId="7">
    <w:name w:val="font81"/>
    <w:basedOn w:val="3"/>
    <w:uiPriority w:val="0"/>
    <w:rPr>
      <w:rFonts w:hint="default" w:ascii="Times New Roman" w:hAnsi="Times New Roman" w:cs="Times New Roman"/>
      <w:color w:val="000000"/>
      <w:sz w:val="24"/>
      <w:szCs w:val="24"/>
      <w:u w:val="none"/>
    </w:rPr>
  </w:style>
  <w:style w:type="character" w:customStyle="1" w:styleId="8">
    <w:name w:val="font11"/>
    <w:basedOn w:val="3"/>
    <w:uiPriority w:val="0"/>
    <w:rPr>
      <w:rFonts w:hint="eastAsia" w:ascii="宋体" w:hAnsi="宋体" w:eastAsia="宋体" w:cs="宋体"/>
      <w:color w:val="000000"/>
      <w:sz w:val="24"/>
      <w:szCs w:val="24"/>
      <w:u w:val="none"/>
    </w:rPr>
  </w:style>
  <w:style w:type="character" w:customStyle="1" w:styleId="9">
    <w:name w:val="font7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2022-08-30T03:28:36Z</dcterms:created>
  <dc:creator>DOCTOR</dc:creator>
  <cp:lastModifiedBy>DOCTOR</cp:lastModifiedBy>
  <dcterms:modified xsi:type="dcterms:W3CDTF">2022-08-30T03:31:25Z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