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r>
        <w:rPr>
          <w:rFonts w:hint="eastAsia"/>
          <w:b w:val="0"/>
          <w:color w:val="auto"/>
          <w:szCs w:val="44"/>
          <w:highlight w:val="none"/>
          <w:lang w:val="zh-CN"/>
        </w:rPr>
        <w:t>采购项目商务和技术要求</w:t>
      </w:r>
      <w:bookmarkStart w:id="0" w:name="_GoBack"/>
      <w:bookmarkEnd w:id="0"/>
    </w:p>
    <w:tbl>
      <w:tblPr>
        <w:tblStyle w:val="4"/>
        <w:tblW w:w="8970" w:type="dxa"/>
        <w:tblInd w:w="0" w:type="dxa"/>
        <w:shd w:val="clear" w:color="auto" w:fill="auto"/>
        <w:tblLayout w:type="autofit"/>
        <w:tblCellMar>
          <w:top w:w="0" w:type="dxa"/>
          <w:left w:w="0" w:type="dxa"/>
          <w:bottom w:w="0" w:type="dxa"/>
          <w:right w:w="0" w:type="dxa"/>
        </w:tblCellMar>
      </w:tblPr>
      <w:tblGrid>
        <w:gridCol w:w="795"/>
        <w:gridCol w:w="1350"/>
        <w:gridCol w:w="6825"/>
      </w:tblGrid>
      <w:tr>
        <w:tblPrEx>
          <w:shd w:val="clear" w:color="auto" w:fill="auto"/>
          <w:tblCellMar>
            <w:top w:w="0" w:type="dxa"/>
            <w:left w:w="0" w:type="dxa"/>
            <w:bottom w:w="0" w:type="dxa"/>
            <w:right w:w="0" w:type="dxa"/>
          </w:tblCellMar>
        </w:tblPrEx>
        <w:trPr>
          <w:trHeight w:val="66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8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r>
      <w:tr>
        <w:tblPrEx>
          <w:shd w:val="clear" w:color="auto" w:fill="auto"/>
          <w:tblCellMar>
            <w:top w:w="0" w:type="dxa"/>
            <w:left w:w="0" w:type="dxa"/>
            <w:bottom w:w="0" w:type="dxa"/>
            <w:right w:w="0" w:type="dxa"/>
          </w:tblCellMar>
        </w:tblPrEx>
        <w:trPr>
          <w:trHeight w:val="2220" w:hRule="atLeast"/>
        </w:trPr>
        <w:tc>
          <w:tcPr>
            <w:tcW w:w="7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sz w:val="22"/>
                <w:szCs w:val="22"/>
                <w:u w:val="none"/>
                <w:lang w:val="en-US" w:eastAsia="zh-CN"/>
              </w:rPr>
              <w:t>(</w:t>
            </w:r>
            <w:r>
              <w:rPr>
                <w:rFonts w:hint="eastAsia" w:ascii="宋体" w:hAnsi="宋体" w:cs="宋体"/>
                <w:b/>
                <w:bCs/>
                <w:i w:val="0"/>
                <w:color w:val="000000"/>
                <w:sz w:val="22"/>
                <w:szCs w:val="22"/>
                <w:u w:val="none"/>
                <w:lang w:val="en-US" w:eastAsia="zh-CN"/>
              </w:rPr>
              <w:t>此项</w:t>
            </w:r>
            <w:r>
              <w:rPr>
                <w:rFonts w:hint="eastAsia" w:ascii="宋体" w:hAnsi="宋体" w:eastAsia="宋体" w:cs="宋体"/>
                <w:b/>
                <w:bCs/>
                <w:i w:val="0"/>
                <w:color w:val="000000"/>
                <w:sz w:val="22"/>
                <w:szCs w:val="22"/>
                <w:u w:val="none"/>
                <w:lang w:val="en-US" w:eastAsia="zh-CN"/>
              </w:rPr>
              <w:t>均为实质性响应条款，不接受负偏离）</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基本要求</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cs="宋体"/>
                <w:b w:val="0"/>
                <w:bCs w:val="0"/>
                <w:i w:val="0"/>
                <w:color w:val="000000"/>
                <w:kern w:val="0"/>
                <w:sz w:val="24"/>
                <w:szCs w:val="24"/>
                <w:highlight w:val="none"/>
                <w:u w:val="none"/>
                <w:lang w:val="en-US" w:eastAsia="zh-CN" w:bidi="ar"/>
              </w:rPr>
              <w:t>1、品牌要求：</w:t>
            </w:r>
            <w:r>
              <w:rPr>
                <w:rFonts w:hint="eastAsia" w:ascii="宋体" w:hAnsi="宋体" w:eastAsia="宋体" w:cs="宋体"/>
                <w:b w:val="0"/>
                <w:bCs w:val="0"/>
                <w:i w:val="0"/>
                <w:color w:val="000000"/>
                <w:kern w:val="0"/>
                <w:sz w:val="24"/>
                <w:szCs w:val="24"/>
                <w:highlight w:val="none"/>
                <w:u w:val="none"/>
                <w:lang w:val="en-US" w:eastAsia="zh-CN" w:bidi="ar"/>
              </w:rPr>
              <w:t>国产品牌，</w:t>
            </w:r>
            <w:r>
              <w:rPr>
                <w:rFonts w:hint="eastAsia" w:ascii="宋体" w:hAnsi="宋体" w:cs="宋体"/>
                <w:b w:val="0"/>
                <w:bCs w:val="0"/>
                <w:i w:val="0"/>
                <w:color w:val="000000"/>
                <w:kern w:val="0"/>
                <w:sz w:val="24"/>
                <w:szCs w:val="24"/>
                <w:highlight w:val="none"/>
                <w:u w:val="none"/>
                <w:lang w:val="en-US" w:eastAsia="zh-CN" w:bidi="ar"/>
              </w:rPr>
              <w:t>采购的5台</w:t>
            </w:r>
            <w:r>
              <w:rPr>
                <w:rFonts w:hint="eastAsia" w:ascii="宋体" w:hAnsi="宋体" w:eastAsia="宋体" w:cs="宋体"/>
                <w:b w:val="0"/>
                <w:bCs w:val="0"/>
                <w:i w:val="0"/>
                <w:color w:val="000000"/>
                <w:kern w:val="0"/>
                <w:sz w:val="24"/>
                <w:szCs w:val="24"/>
                <w:highlight w:val="none"/>
                <w:u w:val="none"/>
                <w:lang w:val="en-US" w:eastAsia="zh-CN" w:bidi="ar"/>
              </w:rPr>
              <w:t>空调应为同一品牌。</w:t>
            </w:r>
            <w:r>
              <w:rPr>
                <w:rFonts w:hint="eastAsia" w:ascii="宋体" w:hAnsi="宋体" w:eastAsia="宋体" w:cs="宋体"/>
                <w:b w:val="0"/>
                <w:bCs w:val="0"/>
                <w:i w:val="0"/>
                <w:color w:val="000000"/>
                <w:kern w:val="0"/>
                <w:sz w:val="24"/>
                <w:szCs w:val="24"/>
                <w:highlight w:val="none"/>
                <w:u w:val="none"/>
                <w:lang w:val="en-US" w:eastAsia="zh-CN" w:bidi="ar"/>
              </w:rPr>
              <w:br w:type="textWrapping"/>
            </w:r>
            <w:r>
              <w:rPr>
                <w:rFonts w:hint="eastAsia" w:ascii="宋体" w:hAnsi="宋体" w:eastAsia="宋体" w:cs="宋体"/>
                <w:b w:val="0"/>
                <w:bCs w:val="0"/>
                <w:i w:val="0"/>
                <w:color w:val="000000"/>
                <w:kern w:val="0"/>
                <w:sz w:val="24"/>
                <w:szCs w:val="24"/>
                <w:highlight w:val="none"/>
                <w:u w:val="none"/>
                <w:lang w:val="en-US" w:eastAsia="zh-CN" w:bidi="ar"/>
              </w:rPr>
              <w:t>2、</w:t>
            </w:r>
            <w:r>
              <w:rPr>
                <w:rFonts w:hint="eastAsia" w:ascii="宋体" w:hAnsi="宋体" w:cs="宋体"/>
                <w:b w:val="0"/>
                <w:bCs w:val="0"/>
                <w:i w:val="0"/>
                <w:color w:val="000000"/>
                <w:kern w:val="0"/>
                <w:sz w:val="24"/>
                <w:szCs w:val="24"/>
                <w:highlight w:val="none"/>
                <w:u w:val="none"/>
                <w:lang w:val="en-US" w:eastAsia="zh-CN" w:bidi="ar"/>
              </w:rPr>
              <w:t>服务内容①</w:t>
            </w:r>
            <w:r>
              <w:rPr>
                <w:rFonts w:hint="eastAsia" w:ascii="宋体" w:hAnsi="宋体" w:eastAsia="宋体" w:cs="宋体"/>
                <w:b w:val="0"/>
                <w:bCs w:val="0"/>
                <w:i w:val="0"/>
                <w:color w:val="000000"/>
                <w:kern w:val="0"/>
                <w:sz w:val="24"/>
                <w:szCs w:val="24"/>
                <w:highlight w:val="none"/>
                <w:u w:val="none"/>
                <w:lang w:val="en-US" w:eastAsia="zh-CN" w:bidi="ar"/>
              </w:rPr>
              <w:t>现有5台列间空调室外机</w:t>
            </w:r>
            <w:r>
              <w:rPr>
                <w:rFonts w:hint="eastAsia" w:ascii="宋体" w:hAnsi="宋体" w:cs="宋体"/>
                <w:b w:val="0"/>
                <w:bCs w:val="0"/>
                <w:i w:val="0"/>
                <w:color w:val="000000"/>
                <w:kern w:val="0"/>
                <w:sz w:val="24"/>
                <w:szCs w:val="24"/>
                <w:highlight w:val="none"/>
                <w:u w:val="none"/>
                <w:lang w:val="en-US" w:eastAsia="zh-CN" w:bidi="ar"/>
              </w:rPr>
              <w:t>，须</w:t>
            </w:r>
            <w:r>
              <w:rPr>
                <w:rFonts w:hint="eastAsia" w:ascii="宋体" w:hAnsi="宋体" w:eastAsia="宋体" w:cs="宋体"/>
                <w:b w:val="0"/>
                <w:bCs w:val="0"/>
                <w:i w:val="0"/>
                <w:color w:val="000000"/>
                <w:kern w:val="0"/>
                <w:sz w:val="24"/>
                <w:szCs w:val="24"/>
                <w:highlight w:val="none"/>
                <w:u w:val="none"/>
                <w:lang w:val="en-US" w:eastAsia="zh-CN" w:bidi="ar"/>
              </w:rPr>
              <w:t>移机</w:t>
            </w:r>
            <w:r>
              <w:rPr>
                <w:rFonts w:hint="eastAsia" w:ascii="宋体" w:hAnsi="宋体" w:cs="宋体"/>
                <w:b w:val="0"/>
                <w:bCs w:val="0"/>
                <w:i w:val="0"/>
                <w:color w:val="000000"/>
                <w:kern w:val="0"/>
                <w:sz w:val="24"/>
                <w:szCs w:val="24"/>
                <w:highlight w:val="none"/>
                <w:u w:val="none"/>
                <w:lang w:val="en-US" w:eastAsia="zh-CN" w:bidi="ar"/>
              </w:rPr>
              <w:t>并</w:t>
            </w:r>
            <w:r>
              <w:rPr>
                <w:rFonts w:hint="eastAsia" w:ascii="宋体" w:hAnsi="宋体" w:eastAsia="宋体" w:cs="宋体"/>
                <w:b w:val="0"/>
                <w:bCs w:val="0"/>
                <w:i w:val="0"/>
                <w:color w:val="000000"/>
                <w:kern w:val="0"/>
                <w:sz w:val="24"/>
                <w:szCs w:val="24"/>
                <w:highlight w:val="none"/>
                <w:u w:val="none"/>
                <w:lang w:val="en-US" w:eastAsia="zh-CN" w:bidi="ar"/>
              </w:rPr>
              <w:t>提供三年原厂质保（型号为NetCol5000A-25H）</w:t>
            </w:r>
            <w:r>
              <w:rPr>
                <w:rFonts w:hint="eastAsia" w:ascii="宋体" w:hAnsi="宋体" w:cs="宋体"/>
                <w:b w:val="0"/>
                <w:bCs w:val="0"/>
                <w:i w:val="0"/>
                <w:color w:val="000000"/>
                <w:kern w:val="0"/>
                <w:sz w:val="24"/>
                <w:szCs w:val="24"/>
                <w:highlight w:val="none"/>
                <w:u w:val="none"/>
                <w:lang w:val="en-US" w:eastAsia="zh-CN" w:bidi="ar"/>
              </w:rPr>
              <w:t>；②</w:t>
            </w:r>
            <w:r>
              <w:rPr>
                <w:rFonts w:hint="eastAsia" w:ascii="宋体" w:hAnsi="宋体" w:eastAsia="宋体" w:cs="宋体"/>
                <w:b w:val="0"/>
                <w:bCs w:val="0"/>
                <w:i w:val="0"/>
                <w:color w:val="000000"/>
                <w:kern w:val="0"/>
                <w:sz w:val="24"/>
                <w:szCs w:val="24"/>
                <w:highlight w:val="none"/>
                <w:u w:val="none"/>
                <w:lang w:val="en-US" w:eastAsia="zh-CN" w:bidi="ar"/>
              </w:rPr>
              <w:t>2台房间级空调拆机</w:t>
            </w:r>
            <w:r>
              <w:rPr>
                <w:rFonts w:hint="eastAsia" w:ascii="宋体" w:hAnsi="宋体" w:cs="宋体"/>
                <w:b w:val="0"/>
                <w:bCs w:val="0"/>
                <w:i w:val="0"/>
                <w:color w:val="000000"/>
                <w:kern w:val="0"/>
                <w:sz w:val="24"/>
                <w:szCs w:val="24"/>
                <w:highlight w:val="none"/>
                <w:u w:val="none"/>
                <w:lang w:val="en-US" w:eastAsia="zh-CN" w:bidi="ar"/>
              </w:rPr>
              <w:t>；③采购5台空调（</w:t>
            </w:r>
            <w:r>
              <w:rPr>
                <w:rFonts w:hint="eastAsia" w:ascii="宋体" w:hAnsi="宋体" w:eastAsia="宋体" w:cs="宋体"/>
                <w:b w:val="0"/>
                <w:bCs w:val="0"/>
                <w:i w:val="0"/>
                <w:color w:val="000000"/>
                <w:kern w:val="0"/>
                <w:sz w:val="24"/>
                <w:szCs w:val="24"/>
                <w:highlight w:val="none"/>
                <w:u w:val="none"/>
                <w:lang w:val="en-US" w:eastAsia="zh-CN" w:bidi="ar"/>
              </w:rPr>
              <w:t>房间级精密空调 2 台</w:t>
            </w:r>
            <w:r>
              <w:rPr>
                <w:rFonts w:hint="eastAsia" w:ascii="宋体" w:hAnsi="宋体" w:cs="宋体"/>
                <w:b w:val="0"/>
                <w:bCs w:val="0"/>
                <w:i w:val="0"/>
                <w:color w:val="000000"/>
                <w:kern w:val="0"/>
                <w:sz w:val="24"/>
                <w:szCs w:val="24"/>
                <w:highlight w:val="none"/>
                <w:u w:val="none"/>
                <w:lang w:val="en-US" w:eastAsia="zh-CN" w:bidi="ar"/>
              </w:rPr>
              <w:t>，</w:t>
            </w:r>
            <w:r>
              <w:rPr>
                <w:rFonts w:hint="eastAsia" w:ascii="宋体" w:hAnsi="宋体" w:eastAsia="宋体" w:cs="宋体"/>
                <w:b w:val="0"/>
                <w:bCs w:val="0"/>
                <w:i w:val="0"/>
                <w:color w:val="000000"/>
                <w:kern w:val="0"/>
                <w:sz w:val="24"/>
                <w:szCs w:val="24"/>
                <w:highlight w:val="none"/>
                <w:u w:val="none"/>
                <w:lang w:val="en-US" w:eastAsia="zh-CN" w:bidi="ar"/>
              </w:rPr>
              <w:t>列间空调 3 台</w:t>
            </w:r>
            <w:r>
              <w:rPr>
                <w:rFonts w:hint="eastAsia" w:ascii="宋体" w:hAnsi="宋体" w:cs="宋体"/>
                <w:b w:val="0"/>
                <w:bCs w:val="0"/>
                <w:i w:val="0"/>
                <w:color w:val="000000"/>
                <w:kern w:val="0"/>
                <w:sz w:val="24"/>
                <w:szCs w:val="24"/>
                <w:highlight w:val="none"/>
                <w:u w:val="none"/>
                <w:lang w:val="en-US" w:eastAsia="zh-CN" w:bidi="ar"/>
              </w:rPr>
              <w:t>）</w:t>
            </w:r>
            <w:r>
              <w:rPr>
                <w:rFonts w:hint="eastAsia" w:ascii="宋体" w:hAnsi="宋体" w:eastAsia="宋体" w:cs="宋体"/>
                <w:b w:val="0"/>
                <w:bCs w:val="0"/>
                <w:i w:val="0"/>
                <w:color w:val="000000"/>
                <w:kern w:val="0"/>
                <w:sz w:val="24"/>
                <w:szCs w:val="24"/>
                <w:highlight w:val="none"/>
                <w:u w:val="none"/>
                <w:lang w:val="en-US" w:eastAsia="zh-CN" w:bidi="ar"/>
              </w:rPr>
              <w:t>。                                  3、与现有动力环境监控系统兼容做统一纳管。提供专用协议，如需相关硬件补充和协议开发费用，均由中标方提供。</w:t>
            </w:r>
          </w:p>
          <w:p>
            <w:pPr>
              <w:keepNext w:val="0"/>
              <w:keepLines w:val="0"/>
              <w:widowControl/>
              <w:suppressLineNumbers w:val="0"/>
              <w:jc w:val="left"/>
              <w:textAlignment w:val="center"/>
              <w:rPr>
                <w:rFonts w:hint="eastAsia"/>
              </w:rPr>
            </w:pPr>
            <w:r>
              <w:rPr>
                <w:rFonts w:hint="eastAsia" w:ascii="宋体" w:hAnsi="宋体" w:eastAsia="宋体" w:cs="宋体"/>
                <w:b w:val="0"/>
                <w:bCs w:val="0"/>
                <w:i w:val="0"/>
                <w:color w:val="000000"/>
                <w:kern w:val="0"/>
                <w:sz w:val="24"/>
                <w:szCs w:val="24"/>
                <w:highlight w:val="none"/>
                <w:u w:val="none"/>
                <w:lang w:val="en-US" w:eastAsia="zh-CN" w:bidi="ar"/>
              </w:rPr>
              <w:t>4、5层窗外室外机由专业认证人员移机到7层楼顶，铜管电源线等经由管井引至楼顶</w:t>
            </w:r>
            <w:r>
              <w:rPr>
                <w:rFonts w:hint="eastAsia" w:ascii="宋体" w:hAnsi="宋体" w:cs="宋体"/>
                <w:b w:val="0"/>
                <w:bCs w:val="0"/>
                <w:i w:val="0"/>
                <w:color w:val="000000"/>
                <w:kern w:val="0"/>
                <w:sz w:val="24"/>
                <w:szCs w:val="24"/>
                <w:highlight w:val="none"/>
                <w:u w:val="none"/>
                <w:lang w:val="en-US" w:eastAsia="zh-CN" w:bidi="ar"/>
              </w:rPr>
              <w:t>。</w:t>
            </w:r>
          </w:p>
        </w:tc>
      </w:tr>
      <w:tr>
        <w:tblPrEx>
          <w:shd w:val="clear" w:color="auto" w:fill="auto"/>
          <w:tblCellMar>
            <w:top w:w="0" w:type="dxa"/>
            <w:left w:w="0" w:type="dxa"/>
            <w:bottom w:w="0" w:type="dxa"/>
            <w:right w:w="0" w:type="dxa"/>
          </w:tblCellMar>
        </w:tblPrEx>
        <w:trPr>
          <w:trHeight w:val="765" w:hRule="atLeast"/>
        </w:trPr>
        <w:tc>
          <w:tcPr>
            <w:tcW w:w="7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配置要求</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1、房间级精密空调 2 台，显冷量≥60kw</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2、列间空调 3 台，显冷量≥35kw</w:t>
            </w:r>
          </w:p>
        </w:tc>
      </w:tr>
      <w:tr>
        <w:tblPrEx>
          <w:shd w:val="clear" w:color="auto" w:fill="auto"/>
          <w:tblCellMar>
            <w:top w:w="0" w:type="dxa"/>
            <w:left w:w="0" w:type="dxa"/>
            <w:bottom w:w="0" w:type="dxa"/>
            <w:right w:w="0" w:type="dxa"/>
          </w:tblCellMar>
        </w:tblPrEx>
        <w:trPr>
          <w:trHeight w:val="758" w:hRule="atLeast"/>
        </w:trPr>
        <w:tc>
          <w:tcPr>
            <w:tcW w:w="7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产品资格</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无</w:t>
            </w:r>
          </w:p>
        </w:tc>
      </w:tr>
      <w:tr>
        <w:tblPrEx>
          <w:shd w:val="clear" w:color="auto" w:fill="auto"/>
          <w:tblCellMar>
            <w:top w:w="0" w:type="dxa"/>
            <w:left w:w="0" w:type="dxa"/>
            <w:bottom w:w="0" w:type="dxa"/>
            <w:right w:w="0" w:type="dxa"/>
          </w:tblCellMar>
        </w:tblPrEx>
        <w:trPr>
          <w:trHeight w:val="795" w:hRule="atLeast"/>
        </w:trPr>
        <w:tc>
          <w:tcPr>
            <w:tcW w:w="7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企业资格</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符合《中华人民共和国政府采购法》第22条资格。</w:t>
            </w:r>
          </w:p>
        </w:tc>
      </w:tr>
      <w:tr>
        <w:tblPrEx>
          <w:shd w:val="clear" w:color="auto" w:fill="auto"/>
          <w:tblCellMar>
            <w:top w:w="0" w:type="dxa"/>
            <w:left w:w="0" w:type="dxa"/>
            <w:bottom w:w="0" w:type="dxa"/>
            <w:right w:w="0" w:type="dxa"/>
          </w:tblCellMar>
        </w:tblPrEx>
        <w:trPr>
          <w:trHeight w:val="379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技术力量</w:t>
            </w:r>
          </w:p>
        </w:tc>
        <w:tc>
          <w:tcPr>
            <w:tcW w:w="682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·1、投标企业应具备精密空调服务资格认证（华为CSP认证或维谛网络能源认证或施耐德APC认证）。</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·2、工程师认证证书（华为数字能源HCIP或艾默生网络能源认证DME空调安装调试工程师或施耐德APC空调授权安装工程师），确保对机房内已有空调进行外机迁移，质保，巡检，维修等服务。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·3、投标人所投设备的厂家必须拥有获得CNAS或GMPI认可的专业焓差实验室或授权的国家重点焓差实验室，并提供证书证明。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·4、投标企业所投设备的厂家，需具备所投产品精密空调相关的专利证书和实用新型专利证书，根据专利证书数量排名得分，并提供证明材料。</w:t>
            </w:r>
          </w:p>
        </w:tc>
      </w:tr>
      <w:tr>
        <w:tblPrEx>
          <w:tblCellMar>
            <w:top w:w="0" w:type="dxa"/>
            <w:left w:w="0" w:type="dxa"/>
            <w:bottom w:w="0" w:type="dxa"/>
            <w:right w:w="0" w:type="dxa"/>
          </w:tblCellMar>
        </w:tblPrEx>
        <w:trPr>
          <w:trHeight w:val="819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Style w:val="6"/>
                <w:rFonts w:eastAsia="宋体"/>
                <w:lang w:val="en-US" w:eastAsia="zh-CN" w:bidi="ar"/>
              </w:rPr>
              <w:t>2.1 60kW</w:t>
            </w:r>
            <w:r>
              <w:rPr>
                <w:rStyle w:val="7"/>
                <w:lang w:val="en-US" w:eastAsia="zh-CN" w:bidi="ar"/>
              </w:rPr>
              <w:t>房间级空调</w:t>
            </w:r>
          </w:p>
        </w:tc>
        <w:tc>
          <w:tcPr>
            <w:tcW w:w="6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一、60KW房间级空调：</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1、风冷直膨式精密空调</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2、送/回风类型：下送风，上回风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3、制冷量：总冷量≥60kW，显冷量≥60kW (回风温度35℃，相对湿度26%，室外温度35℃) ，提供产品彩页；</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4、风量≥14500m3/h，加热量≥6kW，加湿量≥6kg/h；</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·5、制冷范围：精密空调可支持制冷量10%~100%无级调节，并能提供第三方机构性能测试报告证明。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·6、低载除湿功能：精密空调具有低载除湿功能，可以实现最低10%的IT负载及90%以上室内高湿度的情况下的稳定除湿，并能提供第三方机构的除湿性能测试报告。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7、冷媒检测功能：精密空调可对冷媒容量进行自动检测并能在冷媒泄漏量超过阈值时产生制冷剂不足告警，并提供第三方专业检测机构出具的检测报告。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8、室内机风机：采用高效节能无级调速EC风机，支持下沉翻转安装，降低安装难度。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9、精密空调具有FE接口或RS485通讯接口，并提供Modbus和SNMP开放协议，以接入机房环境监控系统进行远程管理，同已有的空调做统一纳管。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10、精密空调应具备G4标准过滤网，滤网可反复清洗和更换，空气过滤器应具有脏堵检测及报警功能。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11、精密空调应具备不低于6kV防雷滤波规格，在极端浪涌条件下更加安全可靠。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12、精密空调控制器应采用≥7英寸LCD触摸真彩屏，操作简单灵活，图形化显示机组内各组件运行状态的功能。支持温湿度曲线显示。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13、精密空调室外机应采用镀锌板和表面磷化＋粉末涂层工艺，具有良好的刚性和防腐性能，适应恶劣环境)</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精密空调室外机换热器应采用平直翅片，不能采用开窗翅片，防止积灰脏堵，影响机组性能和可靠性。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精密空调的冷凝器出厂时应保压，管路端口应有防止异物进入的措施。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14、精密空调应具有开机向导调试功能，向导式引导操作人员进行调试，自动采集机组运行数据信息并帮助运维人员评估机组关键部件状态，大幅降低操作难度。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具有故障自诊断功能 ，故障发生后可通过此功能自动判断故障根因，智能排除无关故障原因，指导运维人员快速完成维护，大幅降低运维难度，缩短故障排查时间。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15、精密空调室内机支持双路供电，强电控盒和压缩机驱动采用整体抽拉式维护模式，最大限度降低维护难度。</w:t>
            </w:r>
          </w:p>
        </w:tc>
      </w:tr>
      <w:tr>
        <w:tblPrEx>
          <w:shd w:val="clear" w:color="auto" w:fill="auto"/>
          <w:tblCellMar>
            <w:top w:w="0" w:type="dxa"/>
            <w:left w:w="0" w:type="dxa"/>
            <w:bottom w:w="0" w:type="dxa"/>
            <w:right w:w="0" w:type="dxa"/>
          </w:tblCellMar>
        </w:tblPrEx>
        <w:trPr>
          <w:trHeight w:val="536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6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r>
      <w:tr>
        <w:tblPrEx>
          <w:shd w:val="clear" w:color="auto" w:fill="auto"/>
          <w:tblCellMar>
            <w:top w:w="0" w:type="dxa"/>
            <w:left w:w="0" w:type="dxa"/>
            <w:bottom w:w="0" w:type="dxa"/>
            <w:right w:w="0" w:type="dxa"/>
          </w:tblCellMar>
        </w:tblPrEx>
        <w:trPr>
          <w:trHeight w:val="8183"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Style w:val="6"/>
                <w:rFonts w:eastAsia="宋体"/>
                <w:lang w:val="en-US" w:eastAsia="zh-CN" w:bidi="ar"/>
              </w:rPr>
              <w:t>2.2  35kW</w:t>
            </w:r>
            <w:r>
              <w:rPr>
                <w:rStyle w:val="6"/>
                <w:rFonts w:eastAsia="宋体"/>
                <w:lang w:val="en-US" w:eastAsia="zh-CN" w:bidi="ar"/>
              </w:rPr>
              <w:br w:type="textWrapping"/>
            </w:r>
            <w:r>
              <w:rPr>
                <w:rStyle w:val="7"/>
                <w:lang w:val="en-US" w:eastAsia="zh-CN" w:bidi="ar"/>
              </w:rPr>
              <w:t>列间空调</w:t>
            </w:r>
          </w:p>
        </w:tc>
        <w:tc>
          <w:tcPr>
            <w:tcW w:w="6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二、35kW行级列间空调：</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1、风冷直膨式精密空调，安装尺寸应同满足现场预留位置，同机柜保持整齐美观。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2、送/回风类型：水平送风，前送风后回风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3、制冷量：总冷量≥35kW，显冷量≥35kW (回风温度37℃，相对湿度20%，室外温度35℃) ，提供产品彩页；</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4、风量≥5900m3/h；，加热量≥4kW，加湿量≥1.5kg/h</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·5、制冷范围：精密空调可支持制冷量20%~100%无级调节，并能提供第三方机构性能测试报告证明。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·6、低载除湿功能：精密空调具有低载除湿功能，可以实现最低10%的IT负载及95%以上室内高湿度的情况下的稳定除湿，并能提供第三方机构的除湿性能测试报告。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7、冷媒检测功能：精密空调可对冷媒容量进行自动检测并能在冷媒泄漏量超过阈值时产生制冷剂不足告警，并提供第三方专业检测机构出具的检测报告。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8、室内机风机：采用高效节能无级调速EC风机，数量≥6，可在线插拔式维护 ，风机更换不需停机。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9、精密空调具有FE接口或RS485通讯接口，并提供Modbus和SNMP开放协议，以接入机房环境监控系统进行远程管理。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10、精密空调应具备G4标准过滤网，滤网可反复清洗和更换，空气过滤器应具有脏堵检测及报警功能。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11、精密空调应具备不低于6kV防雷滤波规格，在极端浪涌条件下更加安全可靠。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12、精密空调控制器应采用≥7英寸LCD触摸真彩屏，操作简单灵活，图形化显示机组内各组件运行状态的功能。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13、精密空调室内机支持双路供电，强电控盒采用整体抽拉式维护模式，最大限度降低维护难度。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·14、精密空调应具有泰尔或CRAA产品认证，并提供相关认证证书。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15、对机房内原有列间空调做好室外机移机，并将原有空调同新安装的空调进行统一的网管组网管理。</w:t>
            </w:r>
          </w:p>
        </w:tc>
      </w:tr>
      <w:tr>
        <w:tblPrEx>
          <w:shd w:val="clear" w:color="auto" w:fill="auto"/>
          <w:tblCellMar>
            <w:top w:w="0" w:type="dxa"/>
            <w:left w:w="0" w:type="dxa"/>
            <w:bottom w:w="0" w:type="dxa"/>
            <w:right w:w="0" w:type="dxa"/>
          </w:tblCellMar>
        </w:tblPrEx>
        <w:trPr>
          <w:trHeight w:val="162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6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r>
      <w:tr>
        <w:tblPrEx>
          <w:shd w:val="clear" w:color="auto" w:fill="auto"/>
          <w:tblCellMar>
            <w:top w:w="0" w:type="dxa"/>
            <w:left w:w="0" w:type="dxa"/>
            <w:bottom w:w="0" w:type="dxa"/>
            <w:right w:w="0" w:type="dxa"/>
          </w:tblCellMar>
        </w:tblPrEx>
        <w:trPr>
          <w:trHeight w:val="749" w:hRule="atLeast"/>
        </w:trPr>
        <w:tc>
          <w:tcPr>
            <w:tcW w:w="8970" w:type="dxa"/>
            <w:gridSpan w:val="3"/>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b/>
                <w:bCs/>
                <w:i w:val="0"/>
                <w:color w:val="000000"/>
                <w:sz w:val="22"/>
                <w:szCs w:val="22"/>
                <w:u w:val="none"/>
                <w:lang w:val="en-US" w:eastAsia="zh-CN"/>
              </w:rPr>
              <w:t>*</w:t>
            </w:r>
            <w:r>
              <w:rPr>
                <w:rFonts w:hint="eastAsia" w:ascii="宋体" w:hAnsi="宋体" w:eastAsia="宋体" w:cs="宋体"/>
                <w:b/>
                <w:bCs/>
                <w:i w:val="0"/>
                <w:color w:val="000000"/>
                <w:sz w:val="22"/>
                <w:szCs w:val="22"/>
                <w:u w:val="none"/>
                <w:lang w:val="en-US" w:eastAsia="zh-CN"/>
              </w:rPr>
              <w:t>商务要求(均为实质性响应条款，不接受负偏离）</w:t>
            </w:r>
          </w:p>
        </w:tc>
      </w:tr>
      <w:tr>
        <w:tblPrEx>
          <w:shd w:val="clear" w:color="auto" w:fill="auto"/>
          <w:tblCellMar>
            <w:top w:w="0" w:type="dxa"/>
            <w:left w:w="0" w:type="dxa"/>
            <w:bottom w:w="0" w:type="dxa"/>
            <w:right w:w="0" w:type="dxa"/>
          </w:tblCellMar>
        </w:tblPrEx>
        <w:trPr>
          <w:trHeight w:val="2175" w:hRule="atLeast"/>
        </w:trPr>
        <w:tc>
          <w:tcPr>
            <w:tcW w:w="7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告知事项</w:t>
            </w:r>
          </w:p>
        </w:tc>
        <w:tc>
          <w:tcPr>
            <w:tcW w:w="6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所投标报价的清单及价格，投标人应充分考虑，包括且不限于设备、配电改造、线缆、管路、支架、施工、吊车、水泥基座、防水围堰、辅材、垃圾清运、搬运、地板修复及更换等各项，应确保整体系统完全满足正常使用，满足招标人的各项相关要求，不允许有漏项增补发生，并且在整个施工过程中，不能影响现网IT设备的正常运行。</w:t>
            </w:r>
          </w:p>
        </w:tc>
      </w:tr>
      <w:tr>
        <w:tblPrEx>
          <w:shd w:val="clear" w:color="auto" w:fill="auto"/>
          <w:tblCellMar>
            <w:top w:w="0" w:type="dxa"/>
            <w:left w:w="0" w:type="dxa"/>
            <w:bottom w:w="0" w:type="dxa"/>
            <w:right w:w="0" w:type="dxa"/>
          </w:tblCellMar>
        </w:tblPrEx>
        <w:trPr>
          <w:trHeight w:val="1095" w:hRule="atLeast"/>
        </w:trPr>
        <w:tc>
          <w:tcPr>
            <w:tcW w:w="7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3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附加验收条件</w:t>
            </w:r>
          </w:p>
        </w:tc>
        <w:tc>
          <w:tcPr>
            <w:tcW w:w="68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1、通过系统全流程运行测试，运行检测时间≥3个月。</w:t>
            </w:r>
            <w:r>
              <w:rPr>
                <w:rFonts w:hint="eastAsia" w:ascii="宋体" w:hAnsi="宋体" w:eastAsia="宋体" w:cs="宋体"/>
                <w:i w:val="0"/>
                <w:color w:val="000000"/>
                <w:kern w:val="0"/>
                <w:sz w:val="24"/>
                <w:szCs w:val="24"/>
                <w:highlight w:val="none"/>
                <w:u w:val="none"/>
                <w:lang w:val="en-US" w:eastAsia="zh-CN" w:bidi="ar"/>
              </w:rPr>
              <w:br w:type="textWrapping"/>
            </w:r>
            <w:r>
              <w:rPr>
                <w:rFonts w:hint="eastAsia" w:ascii="宋体" w:hAnsi="宋体" w:eastAsia="宋体" w:cs="宋体"/>
                <w:i w:val="0"/>
                <w:color w:val="000000"/>
                <w:kern w:val="0"/>
                <w:sz w:val="24"/>
                <w:szCs w:val="24"/>
                <w:highlight w:val="none"/>
                <w:u w:val="none"/>
                <w:lang w:val="en-US" w:eastAsia="zh-CN" w:bidi="ar"/>
              </w:rPr>
              <w:t>2、投标企业所投设备的厂家不允许采用OEM产品。</w:t>
            </w:r>
          </w:p>
        </w:tc>
      </w:tr>
      <w:tr>
        <w:tblPrEx>
          <w:shd w:val="clear" w:color="auto" w:fill="auto"/>
          <w:tblCellMar>
            <w:top w:w="0" w:type="dxa"/>
            <w:left w:w="0" w:type="dxa"/>
            <w:bottom w:w="0" w:type="dxa"/>
            <w:right w:w="0" w:type="dxa"/>
          </w:tblCellMar>
        </w:tblPrEx>
        <w:trPr>
          <w:trHeight w:val="109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商务条款</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·精密空调应具有节能认证（CQC），并提供国家质量体系认证管理中心节能认证证书。</w:t>
            </w:r>
            <w:r>
              <w:rPr>
                <w:rFonts w:hint="eastAsia" w:ascii="宋体" w:hAnsi="宋体" w:eastAsia="宋体" w:cs="宋体"/>
                <w:b/>
                <w:bCs/>
                <w:i w:val="0"/>
                <w:color w:val="000000"/>
                <w:kern w:val="0"/>
                <w:sz w:val="24"/>
                <w:szCs w:val="24"/>
                <w:highlight w:val="none"/>
                <w:u w:val="none"/>
                <w:lang w:val="en-US" w:eastAsia="zh-CN" w:bidi="ar"/>
              </w:rPr>
              <w:t>（提供证明材料）</w:t>
            </w:r>
          </w:p>
        </w:tc>
      </w:tr>
      <w:tr>
        <w:tblPrEx>
          <w:shd w:val="clear" w:color="auto" w:fill="auto"/>
          <w:tblCellMar>
            <w:top w:w="0" w:type="dxa"/>
            <w:left w:w="0" w:type="dxa"/>
            <w:bottom w:w="0" w:type="dxa"/>
            <w:right w:w="0" w:type="dxa"/>
          </w:tblCellMar>
        </w:tblPrEx>
        <w:trPr>
          <w:trHeight w:val="79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交货时间</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签订合同后3个月内。</w:t>
            </w:r>
          </w:p>
        </w:tc>
      </w:tr>
      <w:tr>
        <w:tblPrEx>
          <w:shd w:val="clear" w:color="auto" w:fill="auto"/>
          <w:tblCellMar>
            <w:top w:w="0" w:type="dxa"/>
            <w:left w:w="0" w:type="dxa"/>
            <w:bottom w:w="0" w:type="dxa"/>
            <w:right w:w="0"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交货地点</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北京市海淀区复兴路28号</w:t>
            </w:r>
          </w:p>
        </w:tc>
      </w:tr>
      <w:tr>
        <w:tblPrEx>
          <w:shd w:val="clear" w:color="auto" w:fill="auto"/>
          <w:tblCellMar>
            <w:top w:w="0" w:type="dxa"/>
            <w:left w:w="0" w:type="dxa"/>
            <w:bottom w:w="0" w:type="dxa"/>
            <w:right w:w="0" w:type="dxa"/>
          </w:tblCellMar>
        </w:tblPrEx>
        <w:trPr>
          <w:trHeight w:val="100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付款条件</w:t>
            </w:r>
          </w:p>
        </w:tc>
        <w:tc>
          <w:tcPr>
            <w:tcW w:w="682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空调设备到货后付款30%，安装后稳定运行且验收合格后支付65%，验收合格满一年后付款5%。</w:t>
            </w:r>
          </w:p>
        </w:tc>
      </w:tr>
      <w:tr>
        <w:tblPrEx>
          <w:shd w:val="clear" w:color="auto" w:fill="auto"/>
          <w:tblCellMar>
            <w:top w:w="0" w:type="dxa"/>
            <w:left w:w="0" w:type="dxa"/>
            <w:bottom w:w="0" w:type="dxa"/>
            <w:right w:w="0" w:type="dxa"/>
          </w:tblCellMar>
        </w:tblPrEx>
        <w:trPr>
          <w:trHeight w:val="36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spacing w:after="240" w:afterAutospacing="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 软、硬件质保期≥3年，质保期从验收合格日期起算。质保期内系统软、硬件均免费升级维护，并提供现有8台华为精密空调≥3年所需的空调滤网。提供厂家的授权函和原厂售后服务承诺函。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4.2 预防性维修/定期维护保养，按维修要求，质保期内提供每年≥6次的免费巡检服务并提供巡检报告。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4.3 服务期内出现紧急故障情况，公司响应时间≤30分钟，到达现场时间（必要时）≤2小时，解决问题时间≤4个小时。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4.4 厂家提供免费上门培训，培训讲师应有厂家认证并提供讲师证书证明材料。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4.5 文档资料：产品合格证，使用说明书等。</w:t>
            </w:r>
            <w:r>
              <w:rPr>
                <w:rFonts w:hint="eastAsia" w:ascii="宋体" w:hAnsi="宋体" w:eastAsia="宋体" w:cs="宋体"/>
                <w:i w:val="0"/>
                <w:color w:val="000000"/>
                <w:kern w:val="0"/>
                <w:sz w:val="24"/>
                <w:szCs w:val="24"/>
                <w:u w:val="none"/>
                <w:lang w:val="en-US" w:eastAsia="zh-CN" w:bidi="ar"/>
              </w:rPr>
              <w:br w:type="textWrapping"/>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F737A"/>
    <w:rsid w:val="2FFF7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6">
    <w:name w:val="font21"/>
    <w:basedOn w:val="5"/>
    <w:qFormat/>
    <w:uiPriority w:val="0"/>
    <w:rPr>
      <w:rFonts w:hint="default" w:ascii="Times New Roman" w:hAnsi="Times New Roman" w:cs="Times New Roman"/>
      <w:color w:val="000000"/>
      <w:sz w:val="24"/>
      <w:szCs w:val="24"/>
      <w:u w:val="none"/>
    </w:rPr>
  </w:style>
  <w:style w:type="character" w:customStyle="1" w:styleId="7">
    <w:name w:val="font3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2023-07-05T06:38:00Z</dcterms:created>
  <dc:creator>孙燕君</dc:creator>
  <cp:lastModifiedBy>孙燕君</cp:lastModifiedBy>
  <dcterms:modified xsi:type="dcterms:W3CDTF">2023-07-05T06:39:13Z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