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adjustRightInd w:val="0"/>
        <w:snapToGrid w:val="0"/>
        <w:spacing w:after="120" w:afterLines="50" w:line="560" w:lineRule="exact"/>
        <w:jc w:val="center"/>
        <w:rPr>
          <w:b w:val="0"/>
          <w:color w:val="auto"/>
          <w:szCs w:val="44"/>
          <w:highlight w:val="none"/>
          <w:lang w:val="zh-CN"/>
        </w:rPr>
      </w:pPr>
      <w:r>
        <w:rPr>
          <w:rFonts w:hint="eastAsia"/>
          <w:b w:val="0"/>
          <w:color w:val="auto"/>
          <w:szCs w:val="44"/>
          <w:highlight w:val="none"/>
          <w:lang w:val="zh-CN"/>
        </w:rPr>
        <w:t>采购项目商务和技术要求</w:t>
      </w:r>
    </w:p>
    <w:tbl>
      <w:tblPr>
        <w:tblStyle w:val="5"/>
        <w:tblW w:w="9310" w:type="dxa"/>
        <w:tblInd w:w="0" w:type="dxa"/>
        <w:shd w:val="clear" w:color="auto" w:fill="auto"/>
        <w:tblLayout w:type="fixed"/>
        <w:tblCellMar>
          <w:top w:w="0" w:type="dxa"/>
          <w:left w:w="0" w:type="dxa"/>
          <w:bottom w:w="0" w:type="dxa"/>
          <w:right w:w="0" w:type="dxa"/>
        </w:tblCellMar>
      </w:tblPr>
      <w:tblGrid>
        <w:gridCol w:w="855"/>
        <w:gridCol w:w="1500"/>
        <w:gridCol w:w="6014"/>
        <w:gridCol w:w="941"/>
      </w:tblGrid>
      <w:tr>
        <w:tblPrEx>
          <w:shd w:val="clear" w:color="auto" w:fill="auto"/>
          <w:tblCellMar>
            <w:top w:w="0" w:type="dxa"/>
            <w:left w:w="0" w:type="dxa"/>
            <w:bottom w:w="0" w:type="dxa"/>
            <w:right w:w="0" w:type="dxa"/>
          </w:tblCellMar>
        </w:tblPrEx>
        <w:trPr>
          <w:trHeight w:val="285" w:hRule="atLeast"/>
        </w:trPr>
        <w:tc>
          <w:tcPr>
            <w:tcW w:w="85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序号</w:t>
            </w: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需求名称</w:t>
            </w:r>
          </w:p>
        </w:tc>
        <w:tc>
          <w:tcPr>
            <w:tcW w:w="601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技术参数和需求内容</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备注</w:t>
            </w:r>
          </w:p>
        </w:tc>
      </w:tr>
      <w:tr>
        <w:tblPrEx>
          <w:tblCellMar>
            <w:top w:w="0" w:type="dxa"/>
            <w:left w:w="0" w:type="dxa"/>
            <w:bottom w:w="0" w:type="dxa"/>
            <w:right w:w="0" w:type="dxa"/>
          </w:tblCellMar>
        </w:tblPrEx>
        <w:trPr>
          <w:trHeight w:val="285" w:hRule="atLeast"/>
        </w:trPr>
        <w:tc>
          <w:tcPr>
            <w:tcW w:w="855"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w:t>
            </w:r>
            <w:r>
              <w:rPr>
                <w:rFonts w:hint="eastAsia" w:ascii="宋体" w:hAnsi="宋体" w:eastAsia="宋体" w:cs="宋体"/>
                <w:b/>
                <w:bCs/>
                <w:i w:val="0"/>
                <w:color w:val="000000"/>
                <w:sz w:val="24"/>
                <w:szCs w:val="24"/>
                <w:u w:val="none"/>
                <w:lang w:eastAsia="zh-CN"/>
              </w:rPr>
              <w:t>此项为实质性响应，不允许负偏离</w:t>
            </w:r>
            <w:r>
              <w:rPr>
                <w:rFonts w:hint="eastAsia" w:ascii="宋体" w:hAnsi="宋体" w:eastAsia="宋体" w:cs="宋体"/>
                <w:i w:val="0"/>
                <w:color w:val="000000"/>
                <w:sz w:val="24"/>
                <w:szCs w:val="24"/>
                <w:u w:val="none"/>
                <w:lang w:eastAsia="zh-CN"/>
              </w:rPr>
              <w:t>）</w:t>
            </w:r>
          </w:p>
        </w:tc>
        <w:tc>
          <w:tcPr>
            <w:tcW w:w="1500"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基本要求</w:t>
            </w:r>
          </w:p>
        </w:tc>
        <w:tc>
          <w:tcPr>
            <w:tcW w:w="60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1、提供安全能力提升平台一套，软硬件一体交付，包含教学管理、培训学习、综合实训、攻防演练及平台资源库等功能，可以进行网络安全培训学习、动手操作实训、培训考核、攻防演练等；</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2、为医院提供至少10名医院人员的安全培训。</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FF0000"/>
                <w:sz w:val="24"/>
                <w:szCs w:val="24"/>
                <w:u w:val="none"/>
              </w:rPr>
            </w:pPr>
          </w:p>
        </w:tc>
      </w:tr>
      <w:tr>
        <w:tblPrEx>
          <w:tblCellMar>
            <w:top w:w="0" w:type="dxa"/>
            <w:left w:w="0" w:type="dxa"/>
            <w:bottom w:w="0" w:type="dxa"/>
            <w:right w:w="0" w:type="dxa"/>
          </w:tblCellMar>
        </w:tblPrEx>
        <w:trPr>
          <w:trHeight w:val="570" w:hRule="atLeast"/>
        </w:trPr>
        <w:tc>
          <w:tcPr>
            <w:tcW w:w="855"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1500" w:type="dxa"/>
            <w:tcBorders>
              <w:top w:val="single" w:color="000000" w:sz="4" w:space="0"/>
              <w:left w:val="single" w:color="auto"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cs="宋体"/>
                <w:b/>
                <w:bCs/>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硬件配置要求</w:t>
            </w:r>
          </w:p>
        </w:tc>
        <w:tc>
          <w:tcPr>
            <w:tcW w:w="60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1、硬件服务器集群部署，服务器数目不少于2台，保证CUP使用率不大于70%；</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2、提供交换机1台。</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FF0000"/>
                <w:sz w:val="24"/>
                <w:szCs w:val="24"/>
                <w:u w:val="none"/>
              </w:rPr>
            </w:pPr>
          </w:p>
        </w:tc>
      </w:tr>
      <w:tr>
        <w:tblPrEx>
          <w:tblCellMar>
            <w:top w:w="0" w:type="dxa"/>
            <w:left w:w="0" w:type="dxa"/>
            <w:bottom w:w="0" w:type="dxa"/>
            <w:right w:w="0" w:type="dxa"/>
          </w:tblCellMar>
        </w:tblPrEx>
        <w:trPr>
          <w:trHeight w:val="285" w:hRule="atLeast"/>
        </w:trPr>
        <w:tc>
          <w:tcPr>
            <w:tcW w:w="855"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1500"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cs="宋体"/>
                <w:b/>
                <w:bCs/>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产品资格</w:t>
            </w:r>
          </w:p>
        </w:tc>
        <w:tc>
          <w:tcPr>
            <w:tcW w:w="60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4"/>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所投产品（系统）具有中华人民共和国国家版权局颁发的计算机软件著作权登记证书；须提供相关证明材料并加盖原厂商公章 </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_GB2312" w:hAnsi="宋体" w:eastAsia="仿宋_GB2312" w:cs="仿宋_GB2312"/>
                <w:i w:val="0"/>
                <w:color w:val="FF0000"/>
                <w:sz w:val="24"/>
                <w:szCs w:val="24"/>
                <w:u w:val="none"/>
              </w:rPr>
            </w:pPr>
          </w:p>
        </w:tc>
      </w:tr>
      <w:tr>
        <w:tblPrEx>
          <w:tblCellMar>
            <w:top w:w="0" w:type="dxa"/>
            <w:left w:w="0" w:type="dxa"/>
            <w:bottom w:w="0" w:type="dxa"/>
            <w:right w:w="0" w:type="dxa"/>
          </w:tblCellMar>
        </w:tblPrEx>
        <w:trPr>
          <w:trHeight w:val="285" w:hRule="atLeast"/>
        </w:trPr>
        <w:tc>
          <w:tcPr>
            <w:tcW w:w="855" w:type="dxa"/>
            <w:tcBorders>
              <w:top w:val="single" w:color="auto" w:sz="4" w:space="0"/>
              <w:left w:val="single" w:color="000000" w:sz="4" w:space="0"/>
              <w:bottom w:val="single" w:color="auto"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1500"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技术力量</w:t>
            </w:r>
          </w:p>
        </w:tc>
        <w:tc>
          <w:tcPr>
            <w:tcW w:w="601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 xml:space="preserve">投标单位需提供培训讲师对平台的使用进行现场培训，并提供以下人员三个月投标单位社保证明并加盖原厂公章：                                             </w:t>
            </w: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1.投标单位培训讲师支撑过省级技能选拔赛，提供证明材料复印件并加盖投标单位公章</w:t>
            </w:r>
          </w:p>
          <w:p>
            <w:pPr>
              <w:keepNext w:val="0"/>
              <w:keepLines w:val="0"/>
              <w:widowControl/>
              <w:suppressLineNumbers w:val="0"/>
              <w:jc w:val="left"/>
              <w:textAlignment w:val="center"/>
              <w:rPr>
                <w:rStyle w:val="7"/>
                <w:lang w:val="en-US" w:eastAsia="zh-CN" w:bidi="ar"/>
              </w:rPr>
            </w:pPr>
            <w:r>
              <w:rPr>
                <w:rFonts w:hint="eastAsia" w:ascii="宋体" w:hAnsi="宋体" w:eastAsia="宋体" w:cs="宋体"/>
                <w:b/>
                <w:bCs/>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2.投标单位培训讲师支撑参与过省级以上职业技能竞赛命题工作，提供获得荣誉证书或荣誉称号等，提供证明材料复印件并加盖投标单位公章</w:t>
            </w:r>
            <w:r>
              <w:rPr>
                <w:rFonts w:hint="eastAsia" w:ascii="仿宋_GB2312" w:hAnsi="宋体" w:eastAsia="仿宋_GB2312" w:cs="仿宋_GB2312"/>
                <w:i w:val="0"/>
                <w:color w:val="000000"/>
                <w:kern w:val="0"/>
                <w:sz w:val="24"/>
                <w:szCs w:val="24"/>
                <w:u w:val="none"/>
                <w:lang w:val="en-US" w:eastAsia="zh-CN" w:bidi="ar"/>
              </w:rPr>
              <w:br w:type="textWrapping"/>
            </w:r>
            <w:r>
              <w:rPr>
                <w:rStyle w:val="7"/>
                <w:lang w:val="en-US" w:eastAsia="zh-CN" w:bidi="ar"/>
              </w:rPr>
              <w:t>为确保项目能够顺利交付，要求投标单位具备如下能力：</w:t>
            </w:r>
          </w:p>
          <w:p>
            <w:pPr>
              <w:keepNext w:val="0"/>
              <w:keepLines w:val="0"/>
              <w:widowControl/>
              <w:suppressLineNumbers w:val="0"/>
              <w:jc w:val="left"/>
              <w:textAlignment w:val="center"/>
              <w:rPr>
                <w:rStyle w:val="7"/>
                <w:lang w:val="en-US" w:eastAsia="zh-CN" w:bidi="ar"/>
              </w:rPr>
            </w:pPr>
            <w:r>
              <w:rPr>
                <w:rFonts w:hint="eastAsia" w:ascii="宋体" w:hAnsi="宋体" w:eastAsia="宋体" w:cs="宋体"/>
                <w:b/>
                <w:bCs/>
                <w:i w:val="0"/>
                <w:color w:val="000000"/>
                <w:kern w:val="0"/>
                <w:sz w:val="24"/>
                <w:szCs w:val="24"/>
                <w:u w:val="none"/>
                <w:lang w:val="en-US" w:eastAsia="zh-CN" w:bidi="ar"/>
              </w:rPr>
              <w:t>·</w:t>
            </w:r>
            <w:r>
              <w:rPr>
                <w:rStyle w:val="7"/>
                <w:lang w:val="en-US" w:eastAsia="zh-CN" w:bidi="ar"/>
              </w:rPr>
              <w:t>3.投标单位具有中国信息安全测评中心颁发的信息安全服务安全开发类二级以上证书； 提供相关证明材料并加盖投标单位公章</w:t>
            </w:r>
          </w:p>
          <w:p>
            <w:pPr>
              <w:keepNext w:val="0"/>
              <w:keepLines w:val="0"/>
              <w:widowControl/>
              <w:suppressLineNumbers w:val="0"/>
              <w:jc w:val="left"/>
              <w:textAlignment w:val="center"/>
              <w:rPr>
                <w:rStyle w:val="7"/>
                <w:lang w:val="en-US" w:eastAsia="zh-CN" w:bidi="ar"/>
              </w:rPr>
            </w:pPr>
            <w:r>
              <w:rPr>
                <w:rFonts w:hint="eastAsia" w:ascii="宋体" w:hAnsi="宋体" w:eastAsia="宋体" w:cs="宋体"/>
                <w:b/>
                <w:bCs/>
                <w:i w:val="0"/>
                <w:color w:val="000000"/>
                <w:kern w:val="0"/>
                <w:sz w:val="24"/>
                <w:szCs w:val="24"/>
                <w:u w:val="none"/>
                <w:lang w:val="en-US" w:eastAsia="zh-CN" w:bidi="ar"/>
              </w:rPr>
              <w:t>·</w:t>
            </w:r>
            <w:r>
              <w:rPr>
                <w:rStyle w:val="7"/>
                <w:lang w:val="en-US" w:eastAsia="zh-CN" w:bidi="ar"/>
              </w:rPr>
              <w:t xml:space="preserve">4.投标单位具有中国信息安全测评中心颁发的国家信息安全测评信息安全服务资质证书（安全工程类二级以上）；提供相关证明材料并加盖投标单位公章 </w:t>
            </w:r>
          </w:p>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宋体" w:hAnsi="宋体" w:eastAsia="宋体" w:cs="宋体"/>
                <w:b/>
                <w:bCs/>
                <w:i w:val="0"/>
                <w:color w:val="000000"/>
                <w:kern w:val="0"/>
                <w:sz w:val="24"/>
                <w:szCs w:val="24"/>
                <w:u w:val="none"/>
                <w:lang w:val="en-US" w:eastAsia="zh-CN" w:bidi="ar"/>
              </w:rPr>
              <w:t>·</w:t>
            </w:r>
            <w:r>
              <w:rPr>
                <w:rStyle w:val="7"/>
                <w:lang w:val="en-US" w:eastAsia="zh-CN" w:bidi="ar"/>
              </w:rPr>
              <w:t xml:space="preserve">5投标单位获得近三年CNNVD优秀技术支撑单位证书或获得CNNVD漏洞信息共享合作单位证书；提供相关证明材料并加盖投标单位公章                                                                                                                                                                                                </w:t>
            </w:r>
          </w:p>
        </w:tc>
        <w:tc>
          <w:tcPr>
            <w:tcW w:w="941"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Microsoft YaHei UI" w:hAnsi="Microsoft YaHei UI" w:eastAsia="Microsoft YaHei UI" w:cs="Microsoft YaHei UI"/>
                <w:i w:val="0"/>
                <w:color w:val="FF0000"/>
                <w:sz w:val="24"/>
                <w:szCs w:val="24"/>
                <w:u w:val="none"/>
              </w:rPr>
            </w:pPr>
          </w:p>
        </w:tc>
      </w:tr>
      <w:tr>
        <w:tblPrEx>
          <w:tblCellMar>
            <w:top w:w="0" w:type="dxa"/>
            <w:left w:w="0" w:type="dxa"/>
            <w:bottom w:w="0" w:type="dxa"/>
            <w:right w:w="0" w:type="dxa"/>
          </w:tblCellMar>
        </w:tblPrEx>
        <w:trPr>
          <w:trHeight w:val="570" w:hRule="atLeast"/>
        </w:trPr>
        <w:tc>
          <w:tcPr>
            <w:tcW w:w="855"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15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2.1服务器配置</w:t>
            </w:r>
          </w:p>
        </w:tc>
        <w:tc>
          <w:tcPr>
            <w:tcW w:w="60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单台服务器配置如下：</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2U机架式服务器，带导轨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操作系统：正版操作系统，支持linux操作系统；</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配套软件：安装主流数据库操作系统；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电源：≥2个*800W，冗余满配；</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CPU:≥2颗，每颗主频≥2.4G,每颗≥16核；</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内存≥256GB，单条≥32G，内存槽≥8条；</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硬盘：固态盘≥2块，每块容量≥960G；机械硬盘≥4块，每块容量≥4T，转速≥7200rpm.</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接口数量：千兆电口≥4个,万兆光口≥2个（带多模光模块）</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其他：固态硬盘支持RAID1，实际可用不小于800G，机械硬盘支持RAID10，实际可用不小于7T。      </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default" w:ascii="Microsoft YaHei UI" w:hAnsi="Microsoft YaHei UI" w:eastAsia="Microsoft YaHei UI" w:cs="Microsoft YaHei UI"/>
                <w:i w:val="0"/>
                <w:color w:val="FF0000"/>
                <w:sz w:val="24"/>
                <w:szCs w:val="24"/>
                <w:u w:val="none"/>
              </w:rPr>
            </w:pPr>
          </w:p>
        </w:tc>
      </w:tr>
      <w:tr>
        <w:tblPrEx>
          <w:tblCellMar>
            <w:top w:w="0" w:type="dxa"/>
            <w:left w:w="0" w:type="dxa"/>
            <w:bottom w:w="0" w:type="dxa"/>
            <w:right w:w="0" w:type="dxa"/>
          </w:tblCellMar>
        </w:tblPrEx>
        <w:trPr>
          <w:trHeight w:val="1939" w:hRule="atLeast"/>
        </w:trPr>
        <w:tc>
          <w:tcPr>
            <w:tcW w:w="85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500" w:type="dxa"/>
            <w:tcBorders>
              <w:top w:val="single" w:color="auto" w:sz="4" w:space="0"/>
              <w:left w:val="single" w:color="000000" w:sz="4" w:space="0"/>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2.2交换机配置</w:t>
            </w:r>
          </w:p>
        </w:tc>
        <w:tc>
          <w:tcPr>
            <w:tcW w:w="6014" w:type="dxa"/>
            <w:tcBorders>
              <w:top w:val="single" w:color="auto"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交换机硬件规格要求：                                 ≥24个10/100/1000Base-T以太网端口；                  ≥4个千兆光口；                                       交换机硬件性能：                                        传输速率≥51Mpps/126Mpps</w:t>
            </w:r>
          </w:p>
        </w:tc>
        <w:tc>
          <w:tcPr>
            <w:tcW w:w="941" w:type="dxa"/>
            <w:tcBorders>
              <w:top w:val="single" w:color="auto"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default" w:ascii="Microsoft YaHei UI" w:hAnsi="Microsoft YaHei UI" w:eastAsia="Microsoft YaHei UI" w:cs="Microsoft YaHei UI"/>
                <w:i w:val="0"/>
                <w:color w:val="FF0000"/>
                <w:sz w:val="24"/>
                <w:szCs w:val="24"/>
                <w:u w:val="none"/>
              </w:rPr>
            </w:pPr>
          </w:p>
        </w:tc>
      </w:tr>
      <w:tr>
        <w:tblPrEx>
          <w:tblCellMar>
            <w:top w:w="0" w:type="dxa"/>
            <w:left w:w="0" w:type="dxa"/>
            <w:bottom w:w="0" w:type="dxa"/>
            <w:right w:w="0" w:type="dxa"/>
          </w:tblCellMar>
        </w:tblPrEx>
        <w:trPr>
          <w:trHeight w:val="1492" w:hRule="atLeast"/>
        </w:trPr>
        <w:tc>
          <w:tcPr>
            <w:tcW w:w="855"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50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2.3基础云管理技术要求</w:t>
            </w:r>
          </w:p>
        </w:tc>
        <w:tc>
          <w:tcPr>
            <w:tcW w:w="601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1.平台支持容器和KVM两个类型的集群管理，其中KVM支持至少三种以上的集群类型；</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2.平台提供网段管理，支持配置多IP地址段，用以自动分配创建的实例化资产；</w:t>
            </w:r>
          </w:p>
        </w:tc>
        <w:tc>
          <w:tcPr>
            <w:tcW w:w="94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FF0000"/>
                <w:sz w:val="24"/>
                <w:szCs w:val="24"/>
                <w:u w:val="none"/>
              </w:rPr>
            </w:pPr>
          </w:p>
        </w:tc>
      </w:tr>
      <w:tr>
        <w:tblPrEx>
          <w:tblCellMar>
            <w:top w:w="0" w:type="dxa"/>
            <w:left w:w="0" w:type="dxa"/>
            <w:bottom w:w="0" w:type="dxa"/>
            <w:right w:w="0" w:type="dxa"/>
          </w:tblCellMar>
        </w:tblPrEx>
        <w:trPr>
          <w:trHeight w:val="270" w:hRule="atLeast"/>
        </w:trPr>
        <w:tc>
          <w:tcPr>
            <w:tcW w:w="855"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5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2.4实训教学</w:t>
            </w:r>
          </w:p>
        </w:tc>
        <w:tc>
          <w:tcPr>
            <w:tcW w:w="601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课程可以设置多个知识点并关联相关课程，通过关联课程功能可以建立多个课程之间的关联管理；单个课程包含理论知识、实验、考试、作业等内容，课件资源支持PDF、Word、MarkDown、视频、实验靶机、场景等类型；</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2.平台支持关联和引用知识库和考试中的资源，同时支持快速创建课程，课程支持统计当前参与学习人数和完成学习人数；</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3.平台支持管理学习路径，内置常用学习路径，支持教员自行添加与组建新的学习路径；学习路径支持分阶段管理，同时每个阶段可以按顺序设置多门学习课程；</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 xml:space="preserve">4.培训支持以图形化的方式展示班级中学员考试、作业成绩的分布情况；支持查看所有状态的班级学习情况，学习情况包含待批改作业、试卷、培训平均完成率、作业平均提交率、考试平均完成率、平均学习课时、平均学习时长、考试成绩分布、作业成绩分布等数据信息，支持各班培训组织效果的对比； </w:t>
            </w:r>
          </w:p>
        </w:tc>
        <w:tc>
          <w:tcPr>
            <w:tcW w:w="94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FF0000"/>
                <w:sz w:val="24"/>
                <w:szCs w:val="24"/>
                <w:u w:val="none"/>
              </w:rPr>
            </w:pPr>
          </w:p>
        </w:tc>
      </w:tr>
      <w:tr>
        <w:tblPrEx>
          <w:tblCellMar>
            <w:top w:w="0" w:type="dxa"/>
            <w:left w:w="0" w:type="dxa"/>
            <w:bottom w:w="0" w:type="dxa"/>
            <w:right w:w="0" w:type="dxa"/>
          </w:tblCellMar>
        </w:tblPrEx>
        <w:trPr>
          <w:trHeight w:val="5085" w:hRule="atLeast"/>
        </w:trPr>
        <w:tc>
          <w:tcPr>
            <w:tcW w:w="855"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0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4"/>
                <w:szCs w:val="24"/>
                <w:u w:val="none"/>
              </w:rPr>
            </w:pPr>
          </w:p>
        </w:tc>
        <w:tc>
          <w:tcPr>
            <w:tcW w:w="9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FF0000"/>
                <w:sz w:val="24"/>
                <w:szCs w:val="24"/>
                <w:u w:val="none"/>
              </w:rPr>
            </w:pPr>
          </w:p>
        </w:tc>
      </w:tr>
      <w:tr>
        <w:tblPrEx>
          <w:tblCellMar>
            <w:top w:w="0" w:type="dxa"/>
            <w:left w:w="0" w:type="dxa"/>
            <w:bottom w:w="0" w:type="dxa"/>
            <w:right w:w="0" w:type="dxa"/>
          </w:tblCellMar>
        </w:tblPrEx>
        <w:trPr>
          <w:trHeight w:val="3496" w:hRule="atLeast"/>
        </w:trPr>
        <w:tc>
          <w:tcPr>
            <w:tcW w:w="855"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500" w:type="dxa"/>
            <w:tcBorders>
              <w:top w:val="nil"/>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2.5考试考核</w:t>
            </w:r>
          </w:p>
        </w:tc>
        <w:tc>
          <w:tcPr>
            <w:tcW w:w="60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1.每个学员进行考试时会根据规则生成全新试卷，试卷规则支持依据题目类型、标签、难度等维度进行配置，每条规则支持设置对应题目的数量和分数，每张试卷支持配置多条规则，根据规则进行组卷；</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2.考试支持防作弊模式：模式包括选手看到的题目答案顺序随机打乱；或者每个选手拿到的题目都不一样；</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3.平台支持理论考试功能，支持固定时间段统一考试；支持在设定的时间段内，考生可任意时间进入并根据固定考试时长进行考试；支持开放型考试，学生随时进入考试根据考试时长进行考试；</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FF0000"/>
                <w:sz w:val="24"/>
                <w:szCs w:val="24"/>
                <w:u w:val="none"/>
              </w:rPr>
            </w:pPr>
          </w:p>
        </w:tc>
      </w:tr>
      <w:tr>
        <w:tblPrEx>
          <w:tblCellMar>
            <w:top w:w="0" w:type="dxa"/>
            <w:left w:w="0" w:type="dxa"/>
            <w:bottom w:w="0" w:type="dxa"/>
            <w:right w:w="0" w:type="dxa"/>
          </w:tblCellMar>
        </w:tblPrEx>
        <w:trPr>
          <w:trHeight w:val="570" w:hRule="atLeast"/>
        </w:trPr>
        <w:tc>
          <w:tcPr>
            <w:tcW w:w="855"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500" w:type="dxa"/>
            <w:tcBorders>
              <w:top w:val="nil"/>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2.6实训教学资源</w:t>
            </w:r>
          </w:p>
        </w:tc>
        <w:tc>
          <w:tcPr>
            <w:tcW w:w="60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1.网络安全教学课时数不少于1500课时，每个课时不少于20分钟，课程体系应覆盖信息安全基础、应用安全、数据安全、安全编程、安全运维、安全工具及攻防竞赛等知识领域；</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2.平台支持实例日志管理功能，能够审查实例资源的调度使用情况，支持日志的批量导出、检索和周期性清理；</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3.资源库包含镜像库、工具库、漏洞库、知识库、场景库；支持资源的增加删除、批量管理；</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4.镜像数量不少于600个，镜像类型应包含Windows、Linux两种类别，可以根据镜像类型进行筛选；</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5.工具库支持用户自定义创建工具，工具类型可以支持虚拟机型及下载型；工具数量不少于500款，工具类型包含应急响应、日志分析、电子取证、病毒检查、渗透测试、通用工具、逆向工程、Pwn等类别，工具不得捆绑具有木马后门、病毒程序；</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6.漏洞库支持漏洞的管理与创建，创建时支持关联漏洞利用方法、修复方案、复现环境、测试工具等内容，支持通过漏洞状态、漏洞来源、漏洞等级、漏洞名称、漏洞编号等信息检索漏洞；</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FF0000"/>
                <w:sz w:val="24"/>
                <w:szCs w:val="24"/>
                <w:u w:val="none"/>
              </w:rPr>
            </w:pPr>
          </w:p>
        </w:tc>
      </w:tr>
      <w:tr>
        <w:tblPrEx>
          <w:tblCellMar>
            <w:top w:w="0" w:type="dxa"/>
            <w:left w:w="0" w:type="dxa"/>
            <w:bottom w:w="0" w:type="dxa"/>
            <w:right w:w="0" w:type="dxa"/>
          </w:tblCellMar>
        </w:tblPrEx>
        <w:trPr>
          <w:trHeight w:val="2128" w:hRule="atLeast"/>
        </w:trPr>
        <w:tc>
          <w:tcPr>
            <w:tcW w:w="855"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500" w:type="dxa"/>
            <w:tcBorders>
              <w:top w:val="nil"/>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2.7竞赛演练管理</w:t>
            </w:r>
          </w:p>
        </w:tc>
        <w:tc>
          <w:tcPr>
            <w:tcW w:w="60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1.支持对整场比赛相关情况进行查看，包括竞赛情况、实际参赛人员情况、赛题情况、竞赛靶机状态、竞赛阶段相关信息，支持提供快速入口进入相关信息的配置界面；</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2.竞赛支持混合模式，一场竞赛可以包含多个阶段，每个阶段可以添加不同赛制类型，赛制支持夺旗赛、漏洞渗透赛、攻防对抗赛、权限争夺赛、理论赛五种类型；</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FF0000"/>
                <w:sz w:val="24"/>
                <w:szCs w:val="24"/>
                <w:u w:val="none"/>
              </w:rPr>
            </w:pPr>
          </w:p>
        </w:tc>
      </w:tr>
      <w:tr>
        <w:tblPrEx>
          <w:tblCellMar>
            <w:top w:w="0" w:type="dxa"/>
            <w:left w:w="0" w:type="dxa"/>
            <w:bottom w:w="0" w:type="dxa"/>
            <w:right w:w="0" w:type="dxa"/>
          </w:tblCellMar>
        </w:tblPrEx>
        <w:trPr>
          <w:trHeight w:val="4374" w:hRule="atLeast"/>
        </w:trPr>
        <w:tc>
          <w:tcPr>
            <w:tcW w:w="855"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500" w:type="dxa"/>
            <w:tcBorders>
              <w:top w:val="nil"/>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2.8竞赛赛题管理</w:t>
            </w:r>
          </w:p>
        </w:tc>
        <w:tc>
          <w:tcPr>
            <w:tcW w:w="60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1.夺旗赛题创建时，配置的答题类型支持配置FLAG关联内容，支持配置多种类型靶机，支持关联场景版本及镜像环境，支持配置靶机类型为共享或独占，共享类型靶机支持配置负载能力；</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2.攻防对抗演练支持设置初始分值和每轮时长；支持设置是否对选手开放重置靶机功能；支持设置靶机重置保护时间；支持开启靶机重置扣分模式，该模式下支持配置最大重置次数及超出次数后的扣分分值。</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3.漏洞防渗透演练支持对题目的基本信息进行配置，并支持对题目内关卡的基本信息进行配置，同支持显示或隐藏关卡，展示关卡相关信息。</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4.权限争夺演练支持设置是否开启选手自有靶机以及自由靶机的用户名与密码，并支持设置初始保护时间。</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FF0000"/>
                <w:sz w:val="24"/>
                <w:szCs w:val="24"/>
                <w:u w:val="none"/>
              </w:rPr>
            </w:pPr>
          </w:p>
        </w:tc>
      </w:tr>
      <w:tr>
        <w:tblPrEx>
          <w:tblCellMar>
            <w:top w:w="0" w:type="dxa"/>
            <w:left w:w="0" w:type="dxa"/>
            <w:bottom w:w="0" w:type="dxa"/>
            <w:right w:w="0" w:type="dxa"/>
          </w:tblCellMar>
        </w:tblPrEx>
        <w:trPr>
          <w:trHeight w:val="570" w:hRule="atLeast"/>
        </w:trPr>
        <w:tc>
          <w:tcPr>
            <w:tcW w:w="855"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500" w:type="dxa"/>
            <w:tcBorders>
              <w:top w:val="nil"/>
              <w:left w:val="single" w:color="000000" w:sz="4" w:space="0"/>
              <w:bottom w:val="single" w:color="auto" w:sz="4"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2.9场景演练管理</w:t>
            </w:r>
          </w:p>
        </w:tc>
        <w:tc>
          <w:tcPr>
            <w:tcW w:w="601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1.平台支持以图形化拖拽的方式绘制场景拓扑，拓扑可编辑的设备种类包括路由器 、交换机、虚拟机、docker、安全设备、物理设备等，支持通过名称检索的方式搜索具体设备拖拽使用，支持属性配置；</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2.场景库支持通过新建和已有版本复制的方式创建新的场景版本；场景支持拓扑预览功能；</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3.支持查看场景拓扑，并支持安全场景的构建、回收、重新创建、快照的生成与恢复；</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FF0000"/>
                <w:sz w:val="24"/>
                <w:szCs w:val="24"/>
                <w:u w:val="none"/>
              </w:rPr>
            </w:pPr>
          </w:p>
        </w:tc>
      </w:tr>
      <w:tr>
        <w:tblPrEx>
          <w:tblCellMar>
            <w:top w:w="0" w:type="dxa"/>
            <w:left w:w="0" w:type="dxa"/>
            <w:bottom w:w="0" w:type="dxa"/>
            <w:right w:w="0" w:type="dxa"/>
          </w:tblCellMar>
        </w:tblPrEx>
        <w:trPr>
          <w:trHeight w:val="7425" w:hRule="atLeast"/>
        </w:trPr>
        <w:tc>
          <w:tcPr>
            <w:tcW w:w="855" w:type="dxa"/>
            <w:vMerge w:val="continue"/>
            <w:tcBorders>
              <w:top w:val="single" w:color="000000"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5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2.10实训演练场景资源</w:t>
            </w:r>
          </w:p>
        </w:tc>
        <w:tc>
          <w:tcPr>
            <w:tcW w:w="60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1.攻防对抗实训须包括：无线网络破解、DDoS攻击检测及防御实现、冰河木马实验、破解MySQL_root密码等；</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2.数据安全实训须包括：数据存储方式和存储介质、数据加密方式、数据恢复实验、数据传输安全实验、oracle网络相关安全设置、防火墙设置、密码恢复工具的使用、oracle安全杂项配置、oracle TNS监听器安全oracle数据库审计、oracle用户与权限管理、oracle应用系统安全实践、数据库漏洞利用与拖库、数据库安全扫描、综合实验、SQL Server身份认证、SQL Server权限管理、SQL Server安全加固、MySQL管理维护、MySQL的数据库实践、MySQL数据备份与恢复等；</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web安全综合实训须包括：HTTP漏洞扫描、HTTP安全测试、典型安全通信协议的配置使用(Apache）、WEB服务器部署工具的使用、IIS的安全设置、IIS架构动态网论坛系统、使用工具清除IIS日志、Web服务安全配置实验、一句话木马测试分析、ARP欺骗攻击防御、局域网ARP攻击、Shadow database scanner扫描数据库、CA和CCA的使用、Sksockserver结合sockcap实现代理跳板、cain在windows下的应用等；</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4.渗透场景须包括：用户提权、正反向代理应用、勒索病毒应急响应实践、数据泄露应急响应实践等；</w:t>
            </w:r>
          </w:p>
        </w:tc>
        <w:tc>
          <w:tcPr>
            <w:tcW w:w="941"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FF0000"/>
                <w:sz w:val="24"/>
                <w:szCs w:val="24"/>
                <w:u w:val="none"/>
              </w:rPr>
            </w:pPr>
          </w:p>
        </w:tc>
      </w:tr>
      <w:tr>
        <w:tblPrEx>
          <w:tblCellMar>
            <w:top w:w="0" w:type="dxa"/>
            <w:left w:w="0" w:type="dxa"/>
            <w:bottom w:w="0" w:type="dxa"/>
            <w:right w:w="0" w:type="dxa"/>
          </w:tblCellMar>
        </w:tblPrEx>
        <w:trPr>
          <w:trHeight w:val="4332" w:hRule="atLeast"/>
        </w:trPr>
        <w:tc>
          <w:tcPr>
            <w:tcW w:w="855"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500" w:type="dxa"/>
            <w:tcBorders>
              <w:top w:val="single" w:color="auto"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2.11节点仿真管理</w:t>
            </w:r>
          </w:p>
        </w:tc>
        <w:tc>
          <w:tcPr>
            <w:tcW w:w="6014"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Calibri" w:hAnsi="Calibri" w:eastAsia="宋体" w:cs="Calibri"/>
                <w:i w:val="0"/>
                <w:color w:val="000000"/>
                <w:sz w:val="24"/>
                <w:szCs w:val="24"/>
                <w:u w:val="none"/>
              </w:rPr>
            </w:pPr>
            <w:r>
              <w:rPr>
                <w:rFonts w:hint="default" w:ascii="Calibri" w:hAnsi="Calibri" w:eastAsia="宋体" w:cs="Calibri"/>
                <w:i w:val="0"/>
                <w:color w:val="000000"/>
                <w:kern w:val="0"/>
                <w:sz w:val="24"/>
                <w:szCs w:val="24"/>
                <w:u w:val="none"/>
                <w:lang w:val="en-US" w:eastAsia="zh-CN" w:bidi="ar"/>
              </w:rPr>
              <w:t>1.</w:t>
            </w:r>
            <w:r>
              <w:rPr>
                <w:rFonts w:ascii="宋体" w:hAnsi="宋体" w:eastAsia="宋体" w:cs="宋体"/>
                <w:i w:val="0"/>
                <w:color w:val="000000"/>
                <w:kern w:val="0"/>
                <w:sz w:val="24"/>
                <w:szCs w:val="24"/>
                <w:u w:val="none"/>
                <w:lang w:val="en-US" w:eastAsia="zh-CN" w:bidi="ar"/>
              </w:rPr>
              <w:t>平台支持仿真节点资源类型包含虚拟终端、虚拟网络设备、虚拟安全设备、物理接入设备等；节点支持</w:t>
            </w:r>
            <w:r>
              <w:rPr>
                <w:rStyle w:val="8"/>
                <w:rFonts w:eastAsia="宋体"/>
                <w:lang w:val="en-US" w:eastAsia="zh-CN" w:bidi="ar"/>
              </w:rPr>
              <w:t>KVM</w:t>
            </w:r>
            <w:r>
              <w:rPr>
                <w:rFonts w:ascii="宋体" w:hAnsi="宋体" w:eastAsia="宋体" w:cs="宋体"/>
                <w:i w:val="0"/>
                <w:color w:val="000000"/>
                <w:kern w:val="0"/>
                <w:sz w:val="24"/>
                <w:szCs w:val="24"/>
                <w:u w:val="none"/>
                <w:lang w:val="en-US" w:eastAsia="zh-CN" w:bidi="ar"/>
              </w:rPr>
              <w:t>虚拟机</w:t>
            </w:r>
            <w:r>
              <w:rPr>
                <w:rStyle w:val="8"/>
                <w:rFonts w:eastAsia="宋体"/>
                <w:lang w:val="en-US" w:eastAsia="zh-CN" w:bidi="ar"/>
              </w:rPr>
              <w:t xml:space="preserve"> </w:t>
            </w:r>
            <w:r>
              <w:rPr>
                <w:rFonts w:ascii="宋体" w:hAnsi="宋体" w:eastAsia="宋体" w:cs="宋体"/>
                <w:i w:val="0"/>
                <w:color w:val="000000"/>
                <w:kern w:val="0"/>
                <w:sz w:val="24"/>
                <w:szCs w:val="24"/>
                <w:u w:val="none"/>
                <w:lang w:val="en-US" w:eastAsia="zh-CN" w:bidi="ar"/>
              </w:rPr>
              <w:t>和</w:t>
            </w:r>
            <w:r>
              <w:rPr>
                <w:rStyle w:val="8"/>
                <w:rFonts w:eastAsia="宋体"/>
                <w:lang w:val="en-US" w:eastAsia="zh-CN" w:bidi="ar"/>
              </w:rPr>
              <w:t>docker</w:t>
            </w:r>
            <w:r>
              <w:rPr>
                <w:rFonts w:ascii="宋体" w:hAnsi="宋体" w:eastAsia="宋体" w:cs="宋体"/>
                <w:i w:val="0"/>
                <w:color w:val="000000"/>
                <w:kern w:val="0"/>
                <w:sz w:val="24"/>
                <w:szCs w:val="24"/>
                <w:u w:val="none"/>
                <w:lang w:val="en-US" w:eastAsia="zh-CN" w:bidi="ar"/>
              </w:rPr>
              <w:t>容器类型；</w:t>
            </w:r>
            <w:r>
              <w:rPr>
                <w:rFonts w:ascii="宋体" w:hAnsi="宋体" w:eastAsia="宋体" w:cs="宋体"/>
                <w:i w:val="0"/>
                <w:color w:val="000000"/>
                <w:kern w:val="0"/>
                <w:sz w:val="24"/>
                <w:szCs w:val="24"/>
                <w:u w:val="none"/>
                <w:lang w:val="en-US" w:eastAsia="zh-CN" w:bidi="ar"/>
              </w:rPr>
              <w:br w:type="textWrapping"/>
            </w:r>
            <w:r>
              <w:rPr>
                <w:rStyle w:val="8"/>
                <w:rFonts w:eastAsia="宋体"/>
                <w:lang w:val="en-US" w:eastAsia="zh-CN" w:bidi="ar"/>
              </w:rPr>
              <w:t>2.</w:t>
            </w:r>
            <w:r>
              <w:rPr>
                <w:rFonts w:ascii="宋体" w:hAnsi="宋体" w:eastAsia="宋体" w:cs="宋体"/>
                <w:i w:val="0"/>
                <w:color w:val="000000"/>
                <w:kern w:val="0"/>
                <w:sz w:val="24"/>
                <w:szCs w:val="24"/>
                <w:u w:val="none"/>
                <w:lang w:val="en-US" w:eastAsia="zh-CN" w:bidi="ar"/>
              </w:rPr>
              <w:t>虚拟终端类型包含</w:t>
            </w:r>
            <w:r>
              <w:rPr>
                <w:rStyle w:val="8"/>
                <w:rFonts w:eastAsia="宋体"/>
                <w:lang w:val="en-US" w:eastAsia="zh-CN" w:bidi="ar"/>
              </w:rPr>
              <w:t>windows</w:t>
            </w:r>
            <w:r>
              <w:rPr>
                <w:rFonts w:ascii="宋体" w:hAnsi="宋体" w:eastAsia="宋体" w:cs="宋体"/>
                <w:i w:val="0"/>
                <w:color w:val="000000"/>
                <w:kern w:val="0"/>
                <w:sz w:val="24"/>
                <w:szCs w:val="24"/>
                <w:u w:val="none"/>
                <w:lang w:val="en-US" w:eastAsia="zh-CN" w:bidi="ar"/>
              </w:rPr>
              <w:t>、</w:t>
            </w:r>
            <w:r>
              <w:rPr>
                <w:rStyle w:val="8"/>
                <w:rFonts w:eastAsia="宋体"/>
                <w:lang w:val="en-US" w:eastAsia="zh-CN" w:bidi="ar"/>
              </w:rPr>
              <w:t>linux</w:t>
            </w:r>
            <w:r>
              <w:rPr>
                <w:rFonts w:ascii="宋体" w:hAnsi="宋体" w:eastAsia="宋体" w:cs="宋体"/>
                <w:i w:val="0"/>
                <w:color w:val="000000"/>
                <w:kern w:val="0"/>
                <w:sz w:val="24"/>
                <w:szCs w:val="24"/>
                <w:u w:val="none"/>
                <w:lang w:val="en-US" w:eastAsia="zh-CN" w:bidi="ar"/>
              </w:rPr>
              <w:t>两种类别，其中涵盖</w:t>
            </w:r>
            <w:r>
              <w:rPr>
                <w:rStyle w:val="8"/>
                <w:rFonts w:eastAsia="宋体"/>
                <w:lang w:val="en-US" w:eastAsia="zh-CN" w:bidi="ar"/>
              </w:rPr>
              <w:t>windows10</w:t>
            </w:r>
            <w:r>
              <w:rPr>
                <w:rFonts w:ascii="宋体" w:hAnsi="宋体" w:eastAsia="宋体" w:cs="宋体"/>
                <w:i w:val="0"/>
                <w:color w:val="000000"/>
                <w:kern w:val="0"/>
                <w:sz w:val="24"/>
                <w:szCs w:val="24"/>
                <w:u w:val="none"/>
                <w:lang w:val="en-US" w:eastAsia="zh-CN" w:bidi="ar"/>
              </w:rPr>
              <w:t>、</w:t>
            </w:r>
            <w:r>
              <w:rPr>
                <w:rStyle w:val="8"/>
                <w:rFonts w:eastAsia="宋体"/>
                <w:lang w:val="en-US" w:eastAsia="zh-CN" w:bidi="ar"/>
              </w:rPr>
              <w:t>windows server 2008</w:t>
            </w:r>
            <w:r>
              <w:rPr>
                <w:rFonts w:ascii="宋体" w:hAnsi="宋体" w:eastAsia="宋体" w:cs="宋体"/>
                <w:i w:val="0"/>
                <w:color w:val="000000"/>
                <w:kern w:val="0"/>
                <w:sz w:val="24"/>
                <w:szCs w:val="24"/>
                <w:u w:val="none"/>
                <w:lang w:val="en-US" w:eastAsia="zh-CN" w:bidi="ar"/>
              </w:rPr>
              <w:t>、</w:t>
            </w:r>
            <w:r>
              <w:rPr>
                <w:rStyle w:val="8"/>
                <w:rFonts w:eastAsia="宋体"/>
                <w:lang w:val="en-US" w:eastAsia="zh-CN" w:bidi="ar"/>
              </w:rPr>
              <w:t>windows server 2012</w:t>
            </w:r>
            <w:r>
              <w:rPr>
                <w:rFonts w:ascii="宋体" w:hAnsi="宋体" w:eastAsia="宋体" w:cs="宋体"/>
                <w:i w:val="0"/>
                <w:color w:val="000000"/>
                <w:kern w:val="0"/>
                <w:sz w:val="24"/>
                <w:szCs w:val="24"/>
                <w:u w:val="none"/>
                <w:lang w:val="en-US" w:eastAsia="zh-CN" w:bidi="ar"/>
              </w:rPr>
              <w:t>、</w:t>
            </w:r>
            <w:r>
              <w:rPr>
                <w:rStyle w:val="8"/>
                <w:rFonts w:eastAsia="宋体"/>
                <w:lang w:val="en-US" w:eastAsia="zh-CN" w:bidi="ar"/>
              </w:rPr>
              <w:t>windows server 2016</w:t>
            </w:r>
            <w:r>
              <w:rPr>
                <w:rFonts w:ascii="宋体" w:hAnsi="宋体" w:eastAsia="宋体" w:cs="宋体"/>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centos</w:t>
            </w:r>
            <w:r>
              <w:rPr>
                <w:rFonts w:ascii="宋体" w:hAnsi="宋体" w:eastAsia="宋体" w:cs="宋体"/>
                <w:i w:val="0"/>
                <w:color w:val="000000"/>
                <w:kern w:val="0"/>
                <w:sz w:val="24"/>
                <w:szCs w:val="24"/>
                <w:u w:val="none"/>
                <w:lang w:val="en-US" w:eastAsia="zh-CN" w:bidi="ar"/>
              </w:rPr>
              <w:t>、</w:t>
            </w:r>
            <w:r>
              <w:rPr>
                <w:rStyle w:val="8"/>
                <w:rFonts w:eastAsia="宋体"/>
                <w:lang w:val="en-US" w:eastAsia="zh-CN" w:bidi="ar"/>
              </w:rPr>
              <w:t>ubuntu</w:t>
            </w:r>
            <w:r>
              <w:rPr>
                <w:rFonts w:ascii="宋体" w:hAnsi="宋体" w:eastAsia="宋体" w:cs="宋体"/>
                <w:i w:val="0"/>
                <w:color w:val="000000"/>
                <w:kern w:val="0"/>
                <w:sz w:val="24"/>
                <w:szCs w:val="24"/>
                <w:u w:val="none"/>
                <w:lang w:val="en-US" w:eastAsia="zh-CN" w:bidi="ar"/>
              </w:rPr>
              <w:t>、</w:t>
            </w:r>
            <w:r>
              <w:rPr>
                <w:rStyle w:val="8"/>
                <w:rFonts w:eastAsia="宋体"/>
                <w:lang w:val="en-US" w:eastAsia="zh-CN" w:bidi="ar"/>
              </w:rPr>
              <w:t>Debain8</w:t>
            </w:r>
            <w:r>
              <w:rPr>
                <w:rFonts w:ascii="宋体" w:hAnsi="宋体" w:eastAsia="宋体" w:cs="宋体"/>
                <w:i w:val="0"/>
                <w:color w:val="000000"/>
                <w:kern w:val="0"/>
                <w:sz w:val="24"/>
                <w:szCs w:val="24"/>
                <w:u w:val="none"/>
                <w:lang w:val="en-US" w:eastAsia="zh-CN" w:bidi="ar"/>
              </w:rPr>
              <w:t>、</w:t>
            </w:r>
            <w:r>
              <w:rPr>
                <w:rStyle w:val="8"/>
                <w:rFonts w:eastAsia="宋体"/>
                <w:lang w:val="en-US" w:eastAsia="zh-CN" w:bidi="ar"/>
              </w:rPr>
              <w:t>Kali</w:t>
            </w:r>
            <w:r>
              <w:rPr>
                <w:rFonts w:ascii="宋体" w:hAnsi="宋体" w:eastAsia="宋体" w:cs="宋体"/>
                <w:i w:val="0"/>
                <w:color w:val="000000"/>
                <w:kern w:val="0"/>
                <w:sz w:val="24"/>
                <w:szCs w:val="24"/>
                <w:u w:val="none"/>
                <w:lang w:val="en-US" w:eastAsia="zh-CN" w:bidi="ar"/>
              </w:rPr>
              <w:t>等操作系统类型；</w:t>
            </w:r>
            <w:r>
              <w:rPr>
                <w:rFonts w:ascii="宋体" w:hAnsi="宋体" w:eastAsia="宋体" w:cs="宋体"/>
                <w:i w:val="0"/>
                <w:color w:val="000000"/>
                <w:kern w:val="0"/>
                <w:sz w:val="24"/>
                <w:szCs w:val="24"/>
                <w:u w:val="none"/>
                <w:lang w:val="en-US" w:eastAsia="zh-CN" w:bidi="ar"/>
              </w:rPr>
              <w:br w:type="textWrapping"/>
            </w:r>
            <w:r>
              <w:rPr>
                <w:rStyle w:val="8"/>
                <w:rFonts w:eastAsia="宋体"/>
                <w:lang w:val="en-US" w:eastAsia="zh-CN" w:bidi="ar"/>
              </w:rPr>
              <w:t>3.</w:t>
            </w:r>
            <w:r>
              <w:rPr>
                <w:rFonts w:ascii="宋体" w:hAnsi="宋体" w:eastAsia="宋体" w:cs="宋体"/>
                <w:i w:val="0"/>
                <w:color w:val="000000"/>
                <w:kern w:val="0"/>
                <w:sz w:val="24"/>
                <w:szCs w:val="24"/>
                <w:u w:val="none"/>
                <w:lang w:val="en-US" w:eastAsia="zh-CN" w:bidi="ar"/>
              </w:rPr>
              <w:t>虚拟终端类型包含国产化操作系统，包括统信系统、麒麟系统；</w:t>
            </w:r>
            <w:r>
              <w:rPr>
                <w:rFonts w:ascii="宋体" w:hAnsi="宋体" w:eastAsia="宋体" w:cs="宋体"/>
                <w:i w:val="0"/>
                <w:color w:val="000000"/>
                <w:kern w:val="0"/>
                <w:sz w:val="24"/>
                <w:szCs w:val="24"/>
                <w:u w:val="none"/>
                <w:lang w:val="en-US" w:eastAsia="zh-CN" w:bidi="ar"/>
              </w:rPr>
              <w:br w:type="textWrapping"/>
            </w:r>
            <w:r>
              <w:rPr>
                <w:rStyle w:val="8"/>
                <w:rFonts w:eastAsia="宋体"/>
                <w:lang w:val="en-US" w:eastAsia="zh-CN" w:bidi="ar"/>
              </w:rPr>
              <w:t>4.</w:t>
            </w:r>
            <w:r>
              <w:rPr>
                <w:rFonts w:ascii="宋体" w:hAnsi="宋体" w:eastAsia="宋体" w:cs="宋体"/>
                <w:i w:val="0"/>
                <w:color w:val="000000"/>
                <w:kern w:val="0"/>
                <w:sz w:val="24"/>
                <w:szCs w:val="24"/>
                <w:u w:val="none"/>
                <w:lang w:val="en-US" w:eastAsia="zh-CN" w:bidi="ar"/>
              </w:rPr>
              <w:t>虚拟网络设备类型包含交换机、路由器、防火墙等；</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FF0000"/>
                <w:sz w:val="24"/>
                <w:szCs w:val="24"/>
                <w:u w:val="none"/>
              </w:rPr>
            </w:pPr>
          </w:p>
        </w:tc>
      </w:tr>
      <w:tr>
        <w:tblPrEx>
          <w:tblCellMar>
            <w:top w:w="0" w:type="dxa"/>
            <w:left w:w="0" w:type="dxa"/>
            <w:bottom w:w="0" w:type="dxa"/>
            <w:right w:w="0" w:type="dxa"/>
          </w:tblCellMar>
        </w:tblPrEx>
        <w:trPr>
          <w:trHeight w:val="1311" w:hRule="atLeast"/>
        </w:trPr>
        <w:tc>
          <w:tcPr>
            <w:tcW w:w="855" w:type="dxa"/>
            <w:vMerge w:val="continue"/>
            <w:tcBorders>
              <w:top w:val="single" w:color="000000"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500" w:type="dxa"/>
            <w:tcBorders>
              <w:top w:val="nil"/>
              <w:left w:val="single" w:color="000000" w:sz="4" w:space="0"/>
              <w:bottom w:val="single" w:color="auto" w:sz="4"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2.12平台并发人数要</w:t>
            </w:r>
            <w:r>
              <w:rPr>
                <w:rFonts w:hint="eastAsia" w:ascii="新宋体" w:hAnsi="新宋体" w:eastAsia="新宋体" w:cs="新宋体"/>
                <w:i w:val="0"/>
                <w:color w:val="000000"/>
                <w:kern w:val="0"/>
                <w:sz w:val="24"/>
                <w:szCs w:val="24"/>
                <w:u w:val="none"/>
                <w:lang w:val="en-US" w:eastAsia="zh-CN" w:bidi="ar"/>
              </w:rPr>
              <w:t>求</w:t>
            </w:r>
          </w:p>
        </w:tc>
        <w:tc>
          <w:tcPr>
            <w:tcW w:w="601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≥30人</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FF0000"/>
                <w:sz w:val="24"/>
                <w:szCs w:val="24"/>
                <w:u w:val="none"/>
              </w:rPr>
            </w:pPr>
          </w:p>
        </w:tc>
      </w:tr>
      <w:tr>
        <w:tblPrEx>
          <w:tblCellMar>
            <w:top w:w="0" w:type="dxa"/>
            <w:left w:w="0" w:type="dxa"/>
            <w:bottom w:w="0" w:type="dxa"/>
            <w:right w:w="0" w:type="dxa"/>
          </w:tblCellMar>
        </w:tblPrEx>
        <w:trPr>
          <w:trHeight w:val="1061" w:hRule="atLeast"/>
        </w:trPr>
        <w:tc>
          <w:tcPr>
            <w:tcW w:w="9310" w:type="dxa"/>
            <w:gridSpan w:val="4"/>
            <w:tcBorders>
              <w:top w:val="single" w:color="000000"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FF0000"/>
                <w:sz w:val="24"/>
                <w:szCs w:val="24"/>
                <w:u w:val="none"/>
                <w:lang w:eastAsia="zh-CN"/>
              </w:rPr>
            </w:pPr>
            <w:r>
              <w:rPr>
                <w:rFonts w:hint="eastAsia" w:ascii="仿宋_GB2312" w:hAnsi="仿宋_GB2312" w:eastAsia="仿宋_GB2312" w:cs="仿宋_GB2312"/>
                <w:b/>
                <w:bCs/>
                <w:i w:val="0"/>
                <w:color w:val="000000"/>
                <w:sz w:val="24"/>
                <w:szCs w:val="24"/>
                <w:u w:val="none"/>
                <w:lang w:eastAsia="zh-CN"/>
              </w:rPr>
              <w:t>商务要求（不接受负偏离）</w:t>
            </w:r>
          </w:p>
        </w:tc>
      </w:tr>
      <w:tr>
        <w:tblPrEx>
          <w:tblCellMar>
            <w:top w:w="0" w:type="dxa"/>
            <w:left w:w="0" w:type="dxa"/>
            <w:bottom w:w="0" w:type="dxa"/>
            <w:right w:w="0" w:type="dxa"/>
          </w:tblCellMar>
        </w:tblPrEx>
        <w:trPr>
          <w:trHeight w:val="899" w:hRule="atLeast"/>
        </w:trPr>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c>
          <w:tcPr>
            <w:tcW w:w="15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附加验收条件</w:t>
            </w:r>
          </w:p>
        </w:tc>
        <w:tc>
          <w:tcPr>
            <w:tcW w:w="60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通过系统全流程运行测试，运行检测时间≥1个月。</w:t>
            </w:r>
          </w:p>
        </w:tc>
        <w:tc>
          <w:tcPr>
            <w:tcW w:w="941"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_GB2312" w:hAnsi="宋体" w:eastAsia="仿宋_GB2312" w:cs="仿宋_GB2312"/>
                <w:i w:val="0"/>
                <w:color w:val="FF0000"/>
                <w:sz w:val="24"/>
                <w:szCs w:val="24"/>
                <w:u w:val="none"/>
              </w:rPr>
            </w:pPr>
          </w:p>
        </w:tc>
      </w:tr>
      <w:tr>
        <w:tblPrEx>
          <w:tblCellMar>
            <w:top w:w="0" w:type="dxa"/>
            <w:left w:w="0" w:type="dxa"/>
            <w:bottom w:w="0" w:type="dxa"/>
            <w:right w:w="0" w:type="dxa"/>
          </w:tblCellMar>
        </w:tblPrEx>
        <w:trPr>
          <w:trHeight w:val="1139" w:hRule="atLeast"/>
        </w:trPr>
        <w:tc>
          <w:tcPr>
            <w:tcW w:w="85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w:t>
            </w:r>
          </w:p>
        </w:tc>
        <w:tc>
          <w:tcPr>
            <w:tcW w:w="1500" w:type="dxa"/>
            <w:tcBorders>
              <w:top w:val="single" w:color="auto"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认证培训服务</w:t>
            </w:r>
          </w:p>
        </w:tc>
        <w:tc>
          <w:tcPr>
            <w:tcW w:w="6014"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为医院提供至少10名医院人员参加cisp培训及考核。</w:t>
            </w:r>
          </w:p>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考核类型可从如下六类中选取：中国信息安全测评中心（CISP）认证培训：（1）注册信息安全专业人员认证CISP(CISE/CISO)；（2）工业控制系统安全工程师(CISP-ICSSE)；（3）大数据安全分析师(CISP-BDSA)；（4）云安全工程师(CISP-CSE)；（5）注册信息安全专业人员渗透测试工程师(CISP-PTE)；（6）注册渗透测试专家(CISP-PTS)；</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b/>
                <w:bCs/>
                <w:i w:val="0"/>
                <w:color w:val="000000"/>
                <w:kern w:val="0"/>
                <w:sz w:val="24"/>
                <w:szCs w:val="24"/>
                <w:u w:val="none"/>
                <w:lang w:val="en-US" w:eastAsia="zh-CN" w:bidi="ar"/>
              </w:rPr>
              <w:t>提供承诺函</w:t>
            </w:r>
          </w:p>
        </w:tc>
      </w:tr>
      <w:tr>
        <w:tblPrEx>
          <w:tblCellMar>
            <w:top w:w="0" w:type="dxa"/>
            <w:left w:w="0" w:type="dxa"/>
            <w:bottom w:w="0" w:type="dxa"/>
            <w:right w:w="0" w:type="dxa"/>
          </w:tblCellMar>
        </w:tblPrEx>
        <w:trPr>
          <w:trHeight w:val="558"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w:t>
            </w:r>
          </w:p>
        </w:tc>
        <w:tc>
          <w:tcPr>
            <w:tcW w:w="150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交货时间</w:t>
            </w:r>
          </w:p>
        </w:tc>
        <w:tc>
          <w:tcPr>
            <w:tcW w:w="60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签订合同后90日内。</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FF0000"/>
                <w:sz w:val="24"/>
                <w:szCs w:val="24"/>
                <w:u w:val="none"/>
              </w:rPr>
            </w:pPr>
          </w:p>
        </w:tc>
      </w:tr>
      <w:tr>
        <w:tblPrEx>
          <w:tblCellMar>
            <w:top w:w="0" w:type="dxa"/>
            <w:left w:w="0" w:type="dxa"/>
            <w:bottom w:w="0" w:type="dxa"/>
            <w:right w:w="0" w:type="dxa"/>
          </w:tblCellMar>
        </w:tblPrEx>
        <w:trPr>
          <w:trHeight w:val="653"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w:t>
            </w:r>
          </w:p>
        </w:tc>
        <w:tc>
          <w:tcPr>
            <w:tcW w:w="150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交货地点</w:t>
            </w:r>
          </w:p>
        </w:tc>
        <w:tc>
          <w:tcPr>
            <w:tcW w:w="60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北京市海淀区</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CellMar>
            <w:top w:w="0" w:type="dxa"/>
            <w:left w:w="0" w:type="dxa"/>
            <w:bottom w:w="0" w:type="dxa"/>
            <w:right w:w="0" w:type="dxa"/>
          </w:tblCellMar>
        </w:tblPrEx>
        <w:trPr>
          <w:trHeight w:val="937"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w:t>
            </w:r>
          </w:p>
        </w:tc>
        <w:tc>
          <w:tcPr>
            <w:tcW w:w="150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付款条件</w:t>
            </w:r>
          </w:p>
        </w:tc>
        <w:tc>
          <w:tcPr>
            <w:tcW w:w="60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设备到货部署完成后付款70%，验收后付25%，验收之后满一年付5%</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FF0000"/>
                <w:sz w:val="24"/>
                <w:szCs w:val="24"/>
                <w:u w:val="none"/>
              </w:rPr>
            </w:pPr>
          </w:p>
        </w:tc>
      </w:tr>
      <w:tr>
        <w:tblPrEx>
          <w:tblCellMar>
            <w:top w:w="0" w:type="dxa"/>
            <w:left w:w="0" w:type="dxa"/>
            <w:bottom w:w="0" w:type="dxa"/>
            <w:right w:w="0" w:type="dxa"/>
          </w:tblCellMar>
        </w:tblPrEx>
        <w:trPr>
          <w:trHeight w:val="1817"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w:t>
            </w: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售后服务</w:t>
            </w:r>
          </w:p>
        </w:tc>
        <w:tc>
          <w:tcPr>
            <w:tcW w:w="60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提供</w:t>
            </w:r>
            <w:r>
              <w:rPr>
                <w:rStyle w:val="9"/>
                <w:rFonts w:ascii="宋体" w:hAnsi="宋体" w:eastAsia="宋体" w:cs="宋体"/>
                <w:sz w:val="24"/>
                <w:szCs w:val="24"/>
                <w:lang w:val="en-US" w:eastAsia="zh-CN" w:bidi="ar"/>
              </w:rPr>
              <w:t>3</w:t>
            </w:r>
            <w:r>
              <w:rPr>
                <w:rFonts w:hint="eastAsia" w:ascii="宋体" w:hAnsi="宋体" w:eastAsia="宋体" w:cs="宋体"/>
                <w:i w:val="0"/>
                <w:color w:val="000000"/>
                <w:kern w:val="0"/>
                <w:sz w:val="24"/>
                <w:szCs w:val="24"/>
                <w:u w:val="none"/>
                <w:lang w:val="en-US" w:eastAsia="zh-CN" w:bidi="ar"/>
              </w:rPr>
              <w:t>年免费升级维保，维保开始时间从验收之日起。</w:t>
            </w:r>
            <w:r>
              <w:rPr>
                <w:rStyle w:val="9"/>
                <w:rFonts w:ascii="宋体" w:hAnsi="宋体" w:eastAsia="宋体" w:cs="宋体"/>
                <w:sz w:val="24"/>
                <w:szCs w:val="24"/>
                <w:lang w:val="en-US" w:eastAsia="zh-CN" w:bidi="ar"/>
              </w:rPr>
              <w:br w:type="textWrapping"/>
            </w:r>
            <w:r>
              <w:rPr>
                <w:rFonts w:hint="eastAsia" w:ascii="宋体" w:hAnsi="宋体" w:eastAsia="宋体" w:cs="宋体"/>
                <w:i w:val="0"/>
                <w:color w:val="000000"/>
                <w:kern w:val="0"/>
                <w:sz w:val="24"/>
                <w:szCs w:val="24"/>
                <w:u w:val="none"/>
                <w:lang w:val="en-US" w:eastAsia="zh-CN" w:bidi="ar"/>
              </w:rPr>
              <w:t>维保期内，提供每年免费更新至少</w:t>
            </w:r>
            <w:r>
              <w:rPr>
                <w:rStyle w:val="9"/>
                <w:rFonts w:ascii="宋体" w:hAnsi="宋体" w:eastAsia="宋体" w:cs="宋体"/>
                <w:sz w:val="24"/>
                <w:szCs w:val="24"/>
                <w:lang w:val="en-US" w:eastAsia="zh-CN" w:bidi="ar"/>
              </w:rPr>
              <w:t>50</w:t>
            </w:r>
            <w:r>
              <w:rPr>
                <w:rFonts w:hint="eastAsia" w:ascii="宋体" w:hAnsi="宋体" w:eastAsia="宋体" w:cs="宋体"/>
                <w:i w:val="0"/>
                <w:color w:val="000000"/>
                <w:kern w:val="0"/>
                <w:sz w:val="24"/>
                <w:szCs w:val="24"/>
                <w:u w:val="none"/>
                <w:lang w:val="en-US" w:eastAsia="zh-CN" w:bidi="ar"/>
              </w:rPr>
              <w:t>道赛题。</w:t>
            </w:r>
            <w:r>
              <w:rPr>
                <w:rStyle w:val="9"/>
                <w:rFonts w:ascii="宋体" w:hAnsi="宋体" w:eastAsia="宋体" w:cs="宋体"/>
                <w:sz w:val="24"/>
                <w:szCs w:val="24"/>
                <w:lang w:val="en-US" w:eastAsia="zh-CN" w:bidi="ar"/>
              </w:rPr>
              <w:br w:type="textWrapping"/>
            </w:r>
            <w:r>
              <w:rPr>
                <w:rFonts w:hint="eastAsia" w:ascii="宋体" w:hAnsi="宋体" w:eastAsia="宋体" w:cs="宋体"/>
                <w:i w:val="0"/>
                <w:color w:val="000000"/>
                <w:kern w:val="0"/>
                <w:sz w:val="24"/>
                <w:szCs w:val="24"/>
                <w:u w:val="none"/>
                <w:lang w:val="en-US" w:eastAsia="zh-CN" w:bidi="ar"/>
              </w:rPr>
              <w:t>提供安装调试后本地操作培训，次数根据甲方需求来定。</w:t>
            </w:r>
            <w:r>
              <w:rPr>
                <w:rStyle w:val="9"/>
                <w:rFonts w:ascii="宋体" w:hAnsi="宋体" w:eastAsia="宋体" w:cs="宋体"/>
                <w:sz w:val="24"/>
                <w:szCs w:val="24"/>
                <w:lang w:val="en-US" w:eastAsia="zh-CN" w:bidi="ar"/>
              </w:rPr>
              <w:br w:type="textWrapping"/>
            </w:r>
            <w:r>
              <w:rPr>
                <w:rStyle w:val="10"/>
                <w:rFonts w:eastAsia="宋体"/>
                <w:lang w:val="en-US" w:eastAsia="zh-CN" w:bidi="ar"/>
              </w:rPr>
              <w:t xml:space="preserve"> </w:t>
            </w:r>
            <w:r>
              <w:rPr>
                <w:rFonts w:hint="eastAsia" w:ascii="宋体" w:hAnsi="宋体" w:eastAsia="宋体" w:cs="宋体"/>
                <w:i w:val="0"/>
                <w:color w:val="000000"/>
                <w:kern w:val="0"/>
                <w:sz w:val="24"/>
                <w:szCs w:val="24"/>
                <w:u w:val="none"/>
                <w:lang w:val="en-US" w:eastAsia="zh-CN" w:bidi="ar"/>
              </w:rPr>
              <w:t>提供</w:t>
            </w:r>
            <w:r>
              <w:rPr>
                <w:rStyle w:val="9"/>
                <w:rFonts w:ascii="宋体" w:hAnsi="宋体" w:eastAsia="宋体" w:cs="宋体"/>
                <w:sz w:val="24"/>
                <w:szCs w:val="24"/>
                <w:lang w:val="en-US" w:eastAsia="zh-CN" w:bidi="ar"/>
              </w:rPr>
              <w:t>24</w:t>
            </w:r>
            <w:r>
              <w:rPr>
                <w:rFonts w:hint="eastAsia" w:ascii="宋体" w:hAnsi="宋体" w:eastAsia="宋体" w:cs="宋体"/>
                <w:i w:val="0"/>
                <w:color w:val="000000"/>
                <w:kern w:val="0"/>
                <w:sz w:val="24"/>
                <w:szCs w:val="24"/>
                <w:u w:val="none"/>
                <w:lang w:val="en-US" w:eastAsia="zh-CN" w:bidi="ar"/>
              </w:rPr>
              <w:t>小时支持热线。</w:t>
            </w:r>
            <w:r>
              <w:rPr>
                <w:rStyle w:val="9"/>
                <w:rFonts w:ascii="宋体" w:hAnsi="宋体" w:eastAsia="宋体" w:cs="宋体"/>
                <w:sz w:val="24"/>
                <w:szCs w:val="24"/>
                <w:lang w:val="en-US" w:eastAsia="zh-CN" w:bidi="ar"/>
              </w:rPr>
              <w:br w:type="textWrapping"/>
            </w:r>
            <w:r>
              <w:rPr>
                <w:rFonts w:hint="eastAsia" w:ascii="宋体" w:hAnsi="宋体" w:eastAsia="宋体" w:cs="宋体"/>
                <w:i w:val="0"/>
                <w:color w:val="000000"/>
                <w:kern w:val="0"/>
                <w:sz w:val="24"/>
                <w:szCs w:val="24"/>
                <w:u w:val="none"/>
                <w:lang w:val="en-US" w:eastAsia="zh-CN" w:bidi="ar"/>
              </w:rPr>
              <w:t>本地应急响应时间</w:t>
            </w:r>
            <w:r>
              <w:rPr>
                <w:rStyle w:val="9"/>
                <w:rFonts w:hint="eastAsia" w:ascii="宋体" w:hAnsi="宋体" w:cs="宋体"/>
                <w:sz w:val="24"/>
                <w:szCs w:val="24"/>
                <w:lang w:val="en-US" w:eastAsia="zh-CN" w:bidi="ar"/>
              </w:rPr>
              <w:t>≤</w:t>
            </w:r>
            <w:r>
              <w:rPr>
                <w:rStyle w:val="9"/>
                <w:rFonts w:ascii="宋体" w:hAnsi="宋体" w:eastAsia="宋体" w:cs="宋体"/>
                <w:sz w:val="24"/>
                <w:szCs w:val="24"/>
                <w:lang w:val="en-US" w:eastAsia="zh-CN" w:bidi="ar"/>
              </w:rPr>
              <w:t>2</w:t>
            </w:r>
            <w:r>
              <w:rPr>
                <w:rFonts w:hint="eastAsia" w:ascii="宋体" w:hAnsi="宋体" w:eastAsia="宋体" w:cs="宋体"/>
                <w:i w:val="0"/>
                <w:color w:val="000000"/>
                <w:kern w:val="0"/>
                <w:sz w:val="24"/>
                <w:szCs w:val="24"/>
                <w:u w:val="none"/>
                <w:lang w:val="en-US" w:eastAsia="zh-CN" w:bidi="ar"/>
              </w:rPr>
              <w:t>小时。</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FF0000"/>
                <w:sz w:val="24"/>
                <w:szCs w:val="24"/>
                <w:u w:val="none"/>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微软雅黑">
    <w:panose1 w:val="020B0503020204020204"/>
    <w:charset w:val="86"/>
    <w:family w:val="auto"/>
    <w:pitch w:val="default"/>
    <w:sig w:usb0="80000287" w:usb1="2A0F3C52" w:usb2="00000016" w:usb3="00000000" w:csb0="0004001F" w:csb1="00000000"/>
  </w:font>
  <w:font w:name="Tahoma">
    <w:panose1 w:val="020B0604030504040204"/>
    <w:charset w:val="00"/>
    <w:family w:val="auto"/>
    <w:pitch w:val="default"/>
    <w:sig w:usb0="61007A87" w:usb1="80000000" w:usb2="00000008" w:usb3="00000000" w:csb0="200101FF" w:csb1="20280000"/>
  </w:font>
  <w:font w:name="方正小标宋简体">
    <w:panose1 w:val="03000509000000000000"/>
    <w:charset w:val="86"/>
    <w:family w:val="script"/>
    <w:pitch w:val="default"/>
    <w:sig w:usb0="00000001" w:usb1="080E0000" w:usb2="00000000" w:usb3="00000000" w:csb0="00040000" w:csb1="00000000"/>
  </w:font>
  <w:font w:name="新宋体">
    <w:panose1 w:val="02010609030101010101"/>
    <w:charset w:val="86"/>
    <w:family w:val="auto"/>
    <w:pitch w:val="default"/>
    <w:sig w:usb0="00000003" w:usb1="080E0000" w:usb2="00000000" w:usb3="00000000" w:csb0="00040001" w:csb1="00000000"/>
  </w:font>
  <w:font w:name="仿宋_GB2312">
    <w:panose1 w:val="02010609030101010101"/>
    <w:charset w:val="86"/>
    <w:family w:val="modern"/>
    <w:pitch w:val="default"/>
    <w:sig w:usb0="00000001" w:usb1="080E0000" w:usb2="00000000" w:usb3="00000000" w:csb0="00040000" w:csb1="00000000"/>
  </w:font>
  <w:font w:name="Microsoft YaHei UI">
    <w:altName w:val="宋体"/>
    <w:panose1 w:val="020B0503020204020204"/>
    <w:charset w:val="86"/>
    <w:family w:val="swiss"/>
    <w:pitch w:val="default"/>
    <w:sig w:usb0="00000000" w:usb1="0000000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1B667F"/>
    <w:rsid w:val="261B66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360" w:lineRule="auto"/>
      <w:outlineLvl w:val="1"/>
    </w:pPr>
    <w:rPr>
      <w:rFonts w:ascii="Arial" w:hAnsi="Arial" w:eastAsia="方正小标宋简体"/>
      <w:b/>
      <w:bCs/>
      <w:sz w:val="44"/>
      <w:szCs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style>
  <w:style w:type="paragraph" w:styleId="4">
    <w:name w:val="annotation text"/>
    <w:basedOn w:val="1"/>
    <w:qFormat/>
    <w:uiPriority w:val="0"/>
    <w:pPr>
      <w:jc w:val="left"/>
    </w:pPr>
  </w:style>
  <w:style w:type="character" w:customStyle="1" w:styleId="7">
    <w:name w:val="font11"/>
    <w:basedOn w:val="6"/>
    <w:qFormat/>
    <w:uiPriority w:val="0"/>
    <w:rPr>
      <w:rFonts w:ascii="新宋体" w:hAnsi="新宋体" w:eastAsia="新宋体" w:cs="新宋体"/>
      <w:color w:val="000000"/>
      <w:sz w:val="24"/>
      <w:szCs w:val="24"/>
      <w:u w:val="none"/>
    </w:rPr>
  </w:style>
  <w:style w:type="character" w:customStyle="1" w:styleId="8">
    <w:name w:val="font201"/>
    <w:basedOn w:val="6"/>
    <w:qFormat/>
    <w:uiPriority w:val="0"/>
    <w:rPr>
      <w:rFonts w:hint="default" w:ascii="Calibri" w:hAnsi="Calibri" w:cs="Calibri"/>
      <w:color w:val="000000"/>
      <w:sz w:val="24"/>
      <w:szCs w:val="24"/>
      <w:u w:val="none"/>
    </w:rPr>
  </w:style>
  <w:style w:type="character" w:customStyle="1" w:styleId="9">
    <w:name w:val="font212"/>
    <w:basedOn w:val="6"/>
    <w:qFormat/>
    <w:uiPriority w:val="0"/>
    <w:rPr>
      <w:rFonts w:hint="default" w:ascii="Calibri" w:hAnsi="Calibri" w:cs="Calibri"/>
      <w:color w:val="000000"/>
      <w:sz w:val="24"/>
      <w:szCs w:val="24"/>
      <w:u w:val="none"/>
    </w:rPr>
  </w:style>
  <w:style w:type="character" w:customStyle="1" w:styleId="10">
    <w:name w:val="font221"/>
    <w:basedOn w:val="6"/>
    <w:qFormat/>
    <w:uiPriority w:val="0"/>
    <w:rPr>
      <w:rFonts w:ascii="Arial" w:hAnsi="Arial" w:cs="Arial"/>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2023-07-13T07:22:00Z</dcterms:created>
  <dc:creator>孙燕君</dc:creator>
  <cp:lastModifiedBy>孙燕君</cp:lastModifiedBy>
  <dcterms:modified xsi:type="dcterms:W3CDTF">2023-07-13T07:22:56Z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