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p>
    <w:tbl>
      <w:tblPr>
        <w:tblStyle w:val="4"/>
        <w:tblW w:w="4993" w:type="pct"/>
        <w:tblInd w:w="0" w:type="dxa"/>
        <w:shd w:val="clear" w:color="auto" w:fill="auto"/>
        <w:tblLayout w:type="autofit"/>
        <w:tblCellMar>
          <w:top w:w="0" w:type="dxa"/>
          <w:left w:w="0" w:type="dxa"/>
          <w:bottom w:w="0" w:type="dxa"/>
          <w:right w:w="0" w:type="dxa"/>
        </w:tblCellMar>
      </w:tblPr>
      <w:tblGrid>
        <w:gridCol w:w="630"/>
        <w:gridCol w:w="1401"/>
        <w:gridCol w:w="5603"/>
        <w:gridCol w:w="690"/>
      </w:tblGrid>
      <w:tr>
        <w:tblPrEx>
          <w:shd w:val="clear" w:color="auto" w:fill="auto"/>
          <w:tblCellMar>
            <w:top w:w="0" w:type="dxa"/>
            <w:left w:w="0" w:type="dxa"/>
            <w:bottom w:w="0" w:type="dxa"/>
            <w:right w:w="0" w:type="dxa"/>
          </w:tblCellMar>
        </w:tblPrEx>
        <w:trPr>
          <w:trHeight w:val="23" w:hRule="atLeast"/>
          <w:tblHeader/>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序号</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需求名称</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技术参数和需求内容</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备注</w:t>
            </w: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*1</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基本要求</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200" w:afterAutospacing="0" w:line="300" w:lineRule="exact"/>
              <w:jc w:val="left"/>
              <w:textAlignment w:val="center"/>
              <w:rPr>
                <w:rFonts w:hint="eastAsia" w:ascii="宋体" w:hAnsi="宋体" w:eastAsia="宋体" w:cs="宋体"/>
                <w:i w:val="0"/>
                <w:color w:val="000000"/>
                <w:sz w:val="21"/>
                <w:szCs w:val="21"/>
                <w:u w:val="none"/>
              </w:rPr>
            </w:pPr>
            <w:r>
              <w:rPr>
                <w:rStyle w:val="6"/>
                <w:rFonts w:hint="eastAsia" w:ascii="宋体" w:hAnsi="宋体" w:eastAsia="宋体" w:cs="宋体"/>
                <w:i w:val="0"/>
                <w:color w:val="000000"/>
                <w:sz w:val="21"/>
                <w:szCs w:val="21"/>
                <w:lang w:val="en-US" w:eastAsia="zh-CN" w:bidi="ar"/>
              </w:rPr>
              <w:t>1.能够完成采血工作的功能应用，包含信息接口模块、仪器管理、外围设备接口模块等。</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2.软件具备工作人员登录、工作量统计、患者信息查询、患者采血状态。</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3.具备从医院HIS/LIS和体检系统下载采血相关信息并分配到各子系统或模块的功能。</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4.具备收集各子系统或模块信息并反馈给HIS/LIS功能。</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5.具备采血工作台，满足采血工作人员及设备安装需求。</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1.1</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建设内容</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200" w:afterAutospacing="0" w:line="300" w:lineRule="exact"/>
              <w:jc w:val="left"/>
              <w:textAlignment w:val="center"/>
              <w:rPr>
                <w:rStyle w:val="6"/>
                <w:rFonts w:hint="eastAsia" w:ascii="宋体" w:hAnsi="宋体" w:eastAsia="宋体" w:cs="宋体"/>
                <w:i w:val="0"/>
                <w:color w:val="000000"/>
                <w:sz w:val="21"/>
                <w:szCs w:val="21"/>
                <w:lang w:val="en-US" w:eastAsia="zh-CN" w:bidi="ar"/>
              </w:rPr>
            </w:pPr>
            <w:r>
              <w:rPr>
                <w:rStyle w:val="6"/>
                <w:rFonts w:hint="eastAsia" w:ascii="宋体" w:hAnsi="宋体" w:eastAsia="宋体" w:cs="宋体"/>
                <w:i w:val="0"/>
                <w:color w:val="000000"/>
                <w:sz w:val="21"/>
                <w:szCs w:val="21"/>
                <w:lang w:val="en-US" w:eastAsia="zh-CN" w:bidi="ar"/>
              </w:rPr>
              <w:t>通过控制系统对受检者的采血管和尿管自动选取、自动打印贴签、自动发放等一系列操作；代替原有的人工备管、贴签、发管的流程，避免可能出现的人为选管差错，保证贴签的规范性、标准性，提高工作效率。</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1.2</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明细清单</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200" w:afterAutospacing="0" w:line="300" w:lineRule="exact"/>
              <w:jc w:val="left"/>
              <w:textAlignment w:val="center"/>
              <w:rPr>
                <w:rStyle w:val="6"/>
                <w:rFonts w:hint="eastAsia" w:ascii="宋体" w:hAnsi="宋体" w:eastAsia="宋体" w:cs="宋体"/>
                <w:i w:val="0"/>
                <w:color w:val="000000"/>
                <w:sz w:val="21"/>
                <w:szCs w:val="21"/>
                <w:lang w:val="en-US" w:eastAsia="zh-CN" w:bidi="ar"/>
              </w:rPr>
            </w:pPr>
            <w:r>
              <w:rPr>
                <w:rStyle w:val="6"/>
                <w:rFonts w:hint="eastAsia" w:ascii="宋体" w:hAnsi="宋体" w:eastAsia="宋体" w:cs="宋体"/>
                <w:i w:val="0"/>
                <w:color w:val="000000"/>
                <w:sz w:val="21"/>
                <w:szCs w:val="21"/>
                <w:lang w:val="en-US" w:eastAsia="zh-CN" w:bidi="ar"/>
              </w:rPr>
              <w:t>1.智能备管贴标机4台;</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2.操作软件4套;</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3.触摸屏一体机4台;</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4.扫描器4台;</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5.条码打印机4台;</w:t>
            </w:r>
            <w:r>
              <w:rPr>
                <w:rStyle w:val="6"/>
                <w:rFonts w:hint="eastAsia" w:ascii="宋体" w:hAnsi="宋体" w:eastAsia="宋体" w:cs="宋体"/>
                <w:i w:val="0"/>
                <w:color w:val="000000"/>
                <w:sz w:val="21"/>
                <w:szCs w:val="21"/>
                <w:lang w:val="en-US" w:eastAsia="zh-CN" w:bidi="ar"/>
              </w:rPr>
              <w:br w:type="textWrapping"/>
            </w:r>
            <w:r>
              <w:rPr>
                <w:rStyle w:val="6"/>
                <w:rFonts w:hint="eastAsia" w:ascii="宋体" w:hAnsi="宋体" w:eastAsia="宋体" w:cs="宋体"/>
                <w:i w:val="0"/>
                <w:color w:val="000000"/>
                <w:sz w:val="21"/>
                <w:szCs w:val="21"/>
                <w:lang w:val="en-US" w:eastAsia="zh-CN" w:bidi="ar"/>
              </w:rPr>
              <w:t>以上内容单独报价</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437"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bCs/>
                <w:i w:val="0"/>
                <w:color w:val="000000"/>
                <w:sz w:val="21"/>
                <w:szCs w:val="21"/>
                <w:u w:val="none"/>
                <w:lang w:val="en-US"/>
              </w:rPr>
            </w:pPr>
            <w:r>
              <w:rPr>
                <w:rFonts w:hint="eastAsia" w:ascii="宋体" w:hAnsi="宋体" w:cs="宋体"/>
                <w:i w:val="0"/>
                <w:color w:val="000000"/>
                <w:kern w:val="0"/>
                <w:sz w:val="24"/>
                <w:szCs w:val="24"/>
                <w:u w:val="none"/>
                <w:lang w:val="en-US" w:eastAsia="zh-CN" w:bidi="ar"/>
              </w:rPr>
              <w:t>1.3</w:t>
            </w:r>
          </w:p>
        </w:tc>
        <w:tc>
          <w:tcPr>
            <w:tcW w:w="85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4"/>
                <w:szCs w:val="24"/>
                <w:u w:val="none"/>
                <w:lang w:val="en-US" w:eastAsia="zh-CN" w:bidi="ar"/>
              </w:rPr>
              <w:t>配置要求</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200" w:afterAutospacing="0" w:line="300" w:lineRule="exact"/>
              <w:jc w:val="left"/>
              <w:textAlignment w:val="center"/>
              <w:rPr>
                <w:rStyle w:val="6"/>
                <w:rFonts w:hint="eastAsia" w:ascii="宋体" w:hAnsi="宋体" w:eastAsia="宋体" w:cs="宋体"/>
                <w:i w:val="0"/>
                <w:color w:val="000000"/>
                <w:sz w:val="21"/>
                <w:szCs w:val="21"/>
                <w:lang w:val="en-US" w:eastAsia="zh-CN" w:bidi="ar"/>
              </w:rPr>
            </w:pPr>
            <w:r>
              <w:rPr>
                <w:rStyle w:val="6"/>
                <w:rFonts w:hint="eastAsia" w:ascii="宋体" w:hAnsi="宋体" w:eastAsia="宋体" w:cs="宋体"/>
                <w:i w:val="0"/>
                <w:color w:val="000000"/>
                <w:sz w:val="21"/>
                <w:szCs w:val="21"/>
                <w:lang w:val="en-US" w:eastAsia="zh-CN" w:bidi="ar"/>
              </w:rPr>
              <w:t>负责所投产品及采血工作台的安装、调试工作。</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4"/>
                <w:szCs w:val="24"/>
                <w:u w:val="none"/>
                <w:lang w:val="en-US" w:eastAsia="zh-CN" w:bidi="ar"/>
              </w:rPr>
              <w:t>1</w:t>
            </w:r>
            <w:r>
              <w:rPr>
                <w:rFonts w:hint="eastAsia" w:ascii="宋体" w:hAnsi="宋体" w:cs="宋体"/>
                <w:i w:val="0"/>
                <w:color w:val="000000"/>
                <w:kern w:val="0"/>
                <w:sz w:val="24"/>
                <w:szCs w:val="24"/>
                <w:u w:val="none"/>
                <w:lang w:val="en-US" w:eastAsia="zh-CN" w:bidi="ar"/>
              </w:rPr>
              <w:t>.4</w:t>
            </w:r>
          </w:p>
        </w:tc>
        <w:tc>
          <w:tcPr>
            <w:tcW w:w="855"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技术力量</w:t>
            </w:r>
          </w:p>
        </w:tc>
        <w:tc>
          <w:tcPr>
            <w:tcW w:w="337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*1.提供2例以上三级医院用户使用案例，案例中标公司需为本次投标公司，本次投标产品为案例中标产品或升级产品，提供现场照片、方案图作为证明材料。</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·2.项目经理具备资质：服务方需指定1名项目经理作为本项目专职负责人，项目经理具有PMP项目经理证书，计算机技术与软件专业技术资格中级（含）以上证书。</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·3.团队具备资质：本项目的稳定服务工程师不少于3人，需具有五年以上该系统开发或项目管理实施经验。需提供服务技术人员名单及其近6个月的社保证明。</w:t>
            </w:r>
          </w:p>
        </w:tc>
        <w:tc>
          <w:tcPr>
            <w:tcW w:w="425"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90" w:hRule="atLeast"/>
        </w:trPr>
        <w:tc>
          <w:tcPr>
            <w:tcW w:w="33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w:t>
            </w:r>
          </w:p>
        </w:tc>
        <w:tc>
          <w:tcPr>
            <w:tcW w:w="855"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性能指标</w:t>
            </w:r>
          </w:p>
        </w:tc>
        <w:tc>
          <w:tcPr>
            <w:tcW w:w="337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1"/>
                <w:szCs w:val="21"/>
                <w:u w:val="none"/>
              </w:rPr>
            </w:pPr>
          </w:p>
        </w:tc>
        <w:tc>
          <w:tcPr>
            <w:tcW w:w="425"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2.1</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硬件设备</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1"/>
                <w:szCs w:val="21"/>
                <w:u w:val="none"/>
              </w:rPr>
            </w:pP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9646"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2.1.1</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智能备管贴标机</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*1.具备按照采血相关信息自动在采血管仓中选出正确的采血管、自动把选择出来采血管的对应信息打印在标签上、把打印好的标签自动粘贴在对应的已选择出来的采血管固定位置上的功能。</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*2.主机采用技术成熟的自动取管方式。</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*3.处理能力：单台仪器发管速度≤3.5秒/支。</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*4.噪音≤65dB</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5.装载品种：≥8种，自动识别，支持选配管种拓展，保持既有备管系统，可便捷升级为支持≥16管种。</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6.装载数量：单机最大可同时装载不少于160支采血管。</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*7.采血管类型：直径：12～21mm，长度：75～110mm。采血管为市场通用开放性耗材。</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*8.同时具备贴标采血管和尿管功能。</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*9.贴签要求：贴签时可自动寻找标签位置，标签内容可设，标签粘贴位置可设，原标签覆盖功能，可选用普通打印纸，也可以提供带采血指示线专用标签，保留观察采血量的透明窗口。</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*10.容纳的标签数量：每台试管贴标机容纳≥2卷标签纸，每卷≥2000张。</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*11.标签纸：市场通用热敏标签纸。</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12.打印标签内容：支持条码类型：code128、code39、JAN、2of5、NW-7；支持文字类型：中文、英文、数字、标点符号等。</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13.采血管定位：取试管后试管永远按照首尾一致的方向进入打印贴标位置，无需判别试管盖子的方向。</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 xml:space="preserve">14.余量探测：悬停透明视窗或采血管余量探测指示灯预警方式。 </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15.直观指导操作者放入正确类型采血管的标识。</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16.打印机数量：≥2个，其中一个打印机故障时可由另一个打印机打印标签，且其中一个打印机可用于其他类型样本容器标签的打印。</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17.系统接口：具有双接口，TCP/IP网络接口，USB口。</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18.出管口照亮装置：出管口安装有照明装置，方便操作者清点出管数量。</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19.盛管框为不锈钢做的固定模式或可移动的接管盒设计方案。为避免遗漏，盛管框为完全敞露式。</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20.加管不停机：可以任何时间给备管设备添加真空采血管，不需要暂停设备发管动作。</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 xml:space="preserve">21.运行方式：与用户LIS、PEIS或HIS对接后，自动运行，可向LIS系统提供采血时间。 </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22.具备自我诊断功能，主机故障自我诊断，打印机故障自我诊断。</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23.其中任何一台试管贴标机发生故障不影响其它采血窗口的试管贴标机正常运转。</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 xml:space="preserve">·24.为保证产品的稳定性，要求生产商具有从事备管系统10年以上的生产设计经验，以生产商的营业执照时间计算为准。   </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 xml:space="preserve">·25.能提供10年以上生产历史的采血管工厂出具的配套使用品质保证承诺。    </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rPr>
            </w:pPr>
            <w:r>
              <w:rPr>
                <w:rFonts w:hint="eastAsia"/>
              </w:rPr>
              <w:t>·26.产品获得中国医疗器械协会或中国医师协会等国家一级专业医疗器械协会或组织颁发的荣誉证书。</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1505"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2.1.2</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触摸屏一体机</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*品牌：国产主流品牌</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CPU：≥双核，主频≥3.5GHz</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显示器：≥19英寸；</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触控要求：多点触控高清电容屏；</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内存：≥8G；</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硬盘：≥128G,SSD；</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网络接口：千兆网口，双频WIFI功能；</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USB接口：≥4个</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操作系统：适用于Windows7 32位或64位系统。</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21"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2.1.3</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扫描器</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1.扫描器参数：可识别一维码和二维码</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2.光源：可视二极管激光；</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3.扫描模式：全向多线；</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4.解码能力：code128、code39、JAN、2of5等；</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5.蜂鸣器：可调或无声；</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6.指示灯：可提示扫描状态；</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*7.系统接口：PC键盘口、RS232C、USB等。</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3192"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2.1.4</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条码打印机</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*品牌：国产主流品牌</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作为回执打印或突发情况应急备用设备。</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打印分辨率：≥203dpi</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打印宽度：58mm-108mm</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打印长度：15mm-300mm</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打印机类型：支持热敏/热转印；</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接口类型：USB；</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打印材料：PET,铜版纸，合成纸，PP；</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纸张类型：支持纸卷式，标签式。</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容纳标签数量：≥1000张。</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2.2</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软件</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color w:val="000000"/>
                <w:sz w:val="21"/>
                <w:szCs w:val="21"/>
                <w:u w:val="none"/>
              </w:rPr>
            </w:pP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284"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2.2.1</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智能采血管理软件</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1.受检者确认功能：受检者信息核对，确保本人。</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2.采血管复核功能：对已经发放的采血管进行每根核对。</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3.采血过程管理功能：包括异常管理，增发、重发、中止等</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4.统计功能：可统计工作量，可根据时间段，采血护士工作量进行统计并生成报表。</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5.应急功能：预留设备故障时的应急操作模式，包括半设备运行或无设备运行等情况。 </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·6.智能采血系统运行的相关软件系统具备软件著作权登记证书。 </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483" w:hRule="atLeast"/>
        </w:trPr>
        <w:tc>
          <w:tcPr>
            <w:tcW w:w="339"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2.3</w:t>
            </w:r>
          </w:p>
        </w:tc>
        <w:tc>
          <w:tcPr>
            <w:tcW w:w="855"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数据管理</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要求数据库管理员用户密码交付需求方。</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745"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所有数据库需根据需求方要求配合需求方纳入容灾平台、离线备份平台、数据库监控平台、数据资源平台。</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520"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需提供数据备份机制、数据重建机制。</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455"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所有存有需求方数据的存储介质归需求方所有。</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802"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数据库运维人员需在需求方报备，签署相关保密协议，并纳入需求方数管统一管理。</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·要求系统上线后，全部数据结构交付需求方，并随系统升级更新交付。</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746"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·维保期内需根据需求方要求配合国产化迁移及应用适配，维保期外适配费用不得高于总合同款项1%。</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*2.4</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4"/>
                <w:szCs w:val="24"/>
                <w:u w:val="none"/>
                <w:lang w:val="en-US" w:eastAsia="zh-CN" w:bidi="ar"/>
              </w:rPr>
              <w:t>系统集成</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根据用户需求增加与医院HIS/LIS/体检等信息系统接口，满足</w:t>
            </w:r>
            <w:r>
              <w:rPr>
                <w:rFonts w:hint="eastAsia" w:ascii="宋体" w:hAnsi="宋体" w:cs="宋体"/>
                <w:i w:val="0"/>
                <w:color w:val="000000"/>
                <w:kern w:val="0"/>
                <w:sz w:val="21"/>
                <w:szCs w:val="21"/>
                <w:u w:val="none"/>
                <w:lang w:val="en-US" w:eastAsia="zh-CN" w:bidi="ar"/>
              </w:rPr>
              <w:t>智能采血管理系统</w:t>
            </w:r>
            <w:r>
              <w:rPr>
                <w:rFonts w:hint="eastAsia" w:ascii="宋体" w:hAnsi="宋体" w:eastAsia="宋体" w:cs="宋体"/>
                <w:i w:val="0"/>
                <w:color w:val="000000"/>
                <w:kern w:val="0"/>
                <w:sz w:val="21"/>
                <w:szCs w:val="21"/>
                <w:u w:val="none"/>
                <w:lang w:val="en-US" w:eastAsia="zh-CN" w:bidi="ar"/>
              </w:rPr>
              <w:t>应用。</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72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sz w:val="24"/>
                <w:szCs w:val="24"/>
                <w:u w:val="none"/>
              </w:rPr>
              <w:t>商务</w:t>
            </w:r>
            <w:r>
              <w:rPr>
                <w:rFonts w:hint="eastAsia" w:ascii="宋体" w:hAnsi="宋体" w:eastAsia="宋体" w:cs="宋体"/>
                <w:b/>
                <w:bCs/>
                <w:i w:val="0"/>
                <w:color w:val="000000"/>
                <w:sz w:val="24"/>
                <w:szCs w:val="24"/>
                <w:u w:val="none"/>
                <w:lang w:eastAsia="zh-CN"/>
              </w:rPr>
              <w:t>条款</w:t>
            </w:r>
            <w:r>
              <w:rPr>
                <w:rFonts w:hint="eastAsia" w:ascii="宋体" w:hAnsi="宋体" w:eastAsia="宋体" w:cs="宋体"/>
                <w:b/>
                <w:bCs/>
                <w:i w:val="0"/>
                <w:color w:val="000000"/>
                <w:sz w:val="24"/>
                <w:szCs w:val="24"/>
                <w:u w:val="none"/>
              </w:rPr>
              <w:t>(均为实质性响应条款</w:t>
            </w:r>
            <w:r>
              <w:rPr>
                <w:rFonts w:hint="eastAsia" w:ascii="宋体" w:hAnsi="宋体" w:eastAsia="宋体" w:cs="宋体"/>
                <w:b/>
                <w:bCs/>
                <w:i w:val="0"/>
                <w:color w:val="000000"/>
                <w:sz w:val="24"/>
                <w:szCs w:val="24"/>
                <w:u w:val="none"/>
                <w:lang w:eastAsia="zh-CN"/>
              </w:rPr>
              <w:t>，不接受负偏离</w:t>
            </w:r>
            <w:r>
              <w:rPr>
                <w:rFonts w:hint="eastAsia" w:ascii="宋体" w:hAnsi="宋体" w:eastAsia="宋体" w:cs="宋体"/>
                <w:b/>
                <w:bCs/>
                <w:i w:val="0"/>
                <w:color w:val="000000"/>
                <w:sz w:val="24"/>
                <w:szCs w:val="24"/>
                <w:u w:val="none"/>
              </w:rPr>
              <w:t>）</w:t>
            </w:r>
          </w:p>
        </w:tc>
      </w:tr>
      <w:tr>
        <w:tblPrEx>
          <w:shd w:val="clear" w:color="auto" w:fill="auto"/>
          <w:tblCellMar>
            <w:top w:w="0" w:type="dxa"/>
            <w:left w:w="0" w:type="dxa"/>
            <w:bottom w:w="0" w:type="dxa"/>
            <w:right w:w="0" w:type="dxa"/>
          </w:tblCellMar>
        </w:tblPrEx>
        <w:trPr>
          <w:trHeight w:val="2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售后服务</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color w:val="000000"/>
                <w:sz w:val="21"/>
                <w:szCs w:val="21"/>
                <w:u w:val="none"/>
              </w:rPr>
            </w:pP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1345"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3.1</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保修年限</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年，保修期内开机率不低于95%（按365日/年计算，含节假日)，未达到要求的开机率天数，按双倍天数顺延保修期。需提供原厂授权承诺函且加盖投标方公章，投标方在收到中标通知书后，签订合同之前，向需求单位提供加盖原厂公章的原厂授权或原厂售后服务承诺函。</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569"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3.2</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定期维护保养</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保修期内要求每月提供定期维护保养服务</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849"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3.3</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维修响应时间</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提供24小时电话响应服务，且需在2小时内解决问题；如电话支持解决不了，需现场解决，维修工程师到达现场时间≤0.5个工作日；</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833"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3.4</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升级与软件维护</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保修期内软件免费升级和维护，硬件免费更换和维护；保修期外，提供按小时计费和按故障点计费两种方式，需求方可自行选择。</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1177"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3.5</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培训</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提供不少于7个工作日的现场培训，包括使用培训和工程师培训，需提供视频培训资料，需提供不少于10人次的原厂培训（按项目需求选择培训时长及内容）</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575"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3.6</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交货</w:t>
            </w:r>
            <w:r>
              <w:rPr>
                <w:rFonts w:hint="eastAsia" w:ascii="宋体" w:hAnsi="宋体" w:cs="宋体"/>
                <w:i w:val="0"/>
                <w:color w:val="000000"/>
                <w:kern w:val="0"/>
                <w:sz w:val="24"/>
                <w:szCs w:val="24"/>
                <w:u w:val="none"/>
                <w:lang w:val="en-US" w:eastAsia="zh-CN" w:bidi="ar"/>
              </w:rPr>
              <w:t>期限</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合同签订后90日内交货</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784"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3.7</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履约保障金</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合同签订前向财务缴纳合同额5%的履约保证金，合同内约定的全部条目履约完成后无息退还。</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597" w:hRule="atLeast"/>
        </w:trPr>
        <w:tc>
          <w:tcPr>
            <w:tcW w:w="33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3.8</w:t>
            </w:r>
          </w:p>
        </w:tc>
        <w:tc>
          <w:tcPr>
            <w:tcW w:w="85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4"/>
                <w:szCs w:val="24"/>
                <w:u w:val="none"/>
                <w:lang w:val="en-US" w:eastAsia="zh-CN" w:bidi="ar"/>
              </w:rPr>
              <w:t>付款方式</w:t>
            </w:r>
          </w:p>
        </w:tc>
        <w:tc>
          <w:tcPr>
            <w:tcW w:w="3379"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系统验收完成后付100%合同款。</w:t>
            </w:r>
          </w:p>
        </w:tc>
        <w:tc>
          <w:tcPr>
            <w:tcW w:w="42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i w:val="0"/>
                <w:color w:val="000000"/>
                <w:sz w:val="21"/>
                <w:szCs w:val="21"/>
                <w:u w:val="none"/>
              </w:rPr>
            </w:pPr>
          </w:p>
        </w:tc>
      </w:tr>
      <w:tr>
        <w:tblPrEx>
          <w:shd w:val="clear" w:color="auto" w:fill="auto"/>
          <w:tblCellMar>
            <w:top w:w="0" w:type="dxa"/>
            <w:left w:w="0" w:type="dxa"/>
            <w:bottom w:w="0" w:type="dxa"/>
            <w:right w:w="0" w:type="dxa"/>
          </w:tblCellMar>
        </w:tblPrEx>
        <w:trPr>
          <w:trHeight w:val="23"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b/>
                <w:bCs/>
                <w:color w:val="auto"/>
                <w:kern w:val="2"/>
                <w:sz w:val="21"/>
                <w:szCs w:val="21"/>
                <w:highlight w:val="none"/>
                <w:lang w:val="en-US" w:eastAsia="zh-CN"/>
              </w:rPr>
            </w:pPr>
            <w:r>
              <w:rPr>
                <w:rFonts w:hint="eastAsia" w:ascii="宋体" w:hAnsi="宋体" w:eastAsia="宋体" w:cs="宋体"/>
                <w:b/>
                <w:bCs/>
                <w:color w:val="auto"/>
                <w:kern w:val="2"/>
                <w:sz w:val="21"/>
                <w:szCs w:val="21"/>
                <w:highlight w:val="none"/>
                <w:lang w:val="en-US" w:eastAsia="zh-CN"/>
              </w:rPr>
              <w:t>备注：1.加注“*”号的技术指标为关键指标，≥1项未达到招标文件要求，即做废标处理。</w:t>
            </w:r>
            <w:r>
              <w:rPr>
                <w:rFonts w:hint="eastAsia" w:ascii="宋体" w:hAnsi="宋体" w:eastAsia="宋体" w:cs="宋体"/>
                <w:b/>
                <w:bCs/>
                <w:color w:val="auto"/>
                <w:kern w:val="2"/>
                <w:sz w:val="21"/>
                <w:szCs w:val="21"/>
                <w:highlight w:val="none"/>
                <w:lang w:val="en-US" w:eastAsia="zh-CN"/>
              </w:rPr>
              <w:br w:type="textWrapping"/>
            </w:r>
            <w:r>
              <w:rPr>
                <w:rFonts w:hint="eastAsia" w:ascii="宋体" w:hAnsi="宋体" w:eastAsia="宋体" w:cs="宋体"/>
                <w:b/>
                <w:bCs/>
                <w:color w:val="auto"/>
                <w:kern w:val="2"/>
                <w:sz w:val="21"/>
                <w:szCs w:val="21"/>
                <w:highlight w:val="none"/>
                <w:lang w:val="en-US" w:eastAsia="zh-CN"/>
              </w:rPr>
              <w:t xml:space="preserve">      2.加注“·”号的技术指标为重要指标。</w:t>
            </w:r>
          </w:p>
          <w:p>
            <w:pPr>
              <w:keepNext w:val="0"/>
              <w:keepLines w:val="0"/>
              <w:pageBreakBefore w:val="0"/>
              <w:widowControl w:val="0"/>
              <w:kinsoku/>
              <w:wordWrap/>
              <w:overflowPunct/>
              <w:topLinePunct w:val="0"/>
              <w:autoSpaceDE/>
              <w:autoSpaceDN/>
              <w:bidi w:val="0"/>
              <w:adjustRightInd/>
              <w:snapToGrid/>
              <w:ind w:firstLine="632" w:firstLineChars="300"/>
              <w:jc w:val="both"/>
              <w:textAlignment w:val="auto"/>
              <w:rPr>
                <w:rFonts w:hint="eastAsia" w:ascii="宋体" w:hAnsi="宋体" w:eastAsia="宋体" w:cs="宋体"/>
                <w:b/>
                <w:bCs/>
                <w:color w:val="auto"/>
                <w:kern w:val="2"/>
                <w:sz w:val="21"/>
                <w:szCs w:val="21"/>
                <w:highlight w:val="none"/>
                <w:lang w:val="en-US" w:eastAsia="zh-CN"/>
              </w:rPr>
            </w:pPr>
            <w:r>
              <w:rPr>
                <w:rFonts w:hint="eastAsia" w:ascii="宋体" w:hAnsi="宋体" w:eastAsia="宋体" w:cs="宋体"/>
                <w:b/>
                <w:bCs/>
                <w:color w:val="auto"/>
                <w:kern w:val="2"/>
                <w:sz w:val="21"/>
                <w:szCs w:val="21"/>
                <w:highlight w:val="none"/>
                <w:lang w:val="en-US" w:eastAsia="zh-CN"/>
              </w:rPr>
              <w:t>3.所有商务要求均为实质性响应条款，≥1项未达到招标文件要求，即做废标处理。</w:t>
            </w:r>
            <w:r>
              <w:rPr>
                <w:rFonts w:hint="eastAsia" w:ascii="宋体" w:hAnsi="宋体" w:eastAsia="宋体" w:cs="宋体"/>
                <w:b/>
                <w:bCs/>
                <w:color w:val="auto"/>
                <w:kern w:val="2"/>
                <w:sz w:val="21"/>
                <w:szCs w:val="21"/>
                <w:highlight w:val="none"/>
                <w:lang w:val="en-US" w:eastAsia="zh-CN"/>
              </w:rPr>
              <w:br w:type="textWrapping"/>
            </w:r>
            <w:r>
              <w:rPr>
                <w:rFonts w:hint="eastAsia" w:ascii="宋体" w:hAnsi="宋体" w:eastAsia="宋体" w:cs="宋体"/>
                <w:b/>
                <w:bCs/>
                <w:color w:val="auto"/>
                <w:kern w:val="2"/>
                <w:sz w:val="21"/>
                <w:szCs w:val="21"/>
                <w:highlight w:val="none"/>
                <w:lang w:val="en-US" w:eastAsia="zh-CN"/>
              </w:rPr>
              <w:t xml:space="preserve">    </w:t>
            </w:r>
            <w:r>
              <w:rPr>
                <w:rFonts w:hint="eastAsia" w:ascii="宋体" w:hAnsi="宋体" w:cs="宋体"/>
                <w:b/>
                <w:bCs/>
                <w:color w:val="auto"/>
                <w:kern w:val="2"/>
                <w:sz w:val="21"/>
                <w:szCs w:val="21"/>
                <w:highlight w:val="none"/>
                <w:lang w:val="en-US" w:eastAsia="zh-CN"/>
              </w:rPr>
              <w:t xml:space="preserve">  4</w:t>
            </w:r>
            <w:r>
              <w:rPr>
                <w:rFonts w:hint="eastAsia" w:ascii="宋体" w:hAnsi="宋体" w:eastAsia="宋体" w:cs="宋体"/>
                <w:b/>
                <w:bCs/>
                <w:color w:val="auto"/>
                <w:kern w:val="2"/>
                <w:sz w:val="21"/>
                <w:szCs w:val="21"/>
                <w:highlight w:val="none"/>
                <w:lang w:val="en-US" w:eastAsia="zh-CN"/>
              </w:rPr>
              <w:t>.加注“*”、“·”号的技术指标均需投标企业提供证明材料。</w:t>
            </w:r>
          </w:p>
          <w:p>
            <w:pPr>
              <w:keepNext w:val="0"/>
              <w:keepLines w:val="0"/>
              <w:pageBreakBefore w:val="0"/>
              <w:widowControl/>
              <w:kinsoku/>
              <w:wordWrap/>
              <w:overflowPunct/>
              <w:topLinePunct w:val="0"/>
              <w:autoSpaceDE/>
              <w:autoSpaceDN/>
              <w:bidi w:val="0"/>
              <w:adjustRightInd w:val="0"/>
              <w:snapToGrid w:val="0"/>
              <w:spacing w:line="240" w:lineRule="auto"/>
              <w:ind w:firstLine="632" w:firstLineChars="300"/>
              <w:jc w:val="both"/>
              <w:textAlignment w:val="auto"/>
              <w:rPr>
                <w:rFonts w:hint="eastAsia" w:ascii="宋体" w:hAnsi="宋体" w:eastAsia="宋体" w:cs="宋体"/>
                <w:i w:val="0"/>
                <w:color w:val="000000"/>
                <w:sz w:val="21"/>
                <w:szCs w:val="21"/>
                <w:u w:val="none"/>
              </w:rPr>
            </w:pPr>
            <w:r>
              <w:rPr>
                <w:rFonts w:hint="eastAsia" w:ascii="宋体" w:hAnsi="宋体" w:eastAsia="宋体" w:cs="宋体"/>
                <w:b/>
                <w:bCs/>
                <w:color w:val="auto"/>
                <w:kern w:val="2"/>
                <w:sz w:val="21"/>
                <w:szCs w:val="21"/>
                <w:highlight w:val="none"/>
                <w:lang w:val="en-US" w:eastAsia="zh-CN" w:bidi="ar-SA"/>
              </w:rPr>
              <w:t>供应商须提供相关技术指标证明材料予以佐证（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B3544"/>
    <w:rsid w:val="0D0B3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6">
    <w:name w:val="font101"/>
    <w:basedOn w:val="5"/>
    <w:qFormat/>
    <w:uiPriority w:val="0"/>
    <w:rPr>
      <w:rFonts w:ascii="Wingdings 2" w:hAnsi="Wingdings 2" w:eastAsia="Wingdings 2" w:cs="Wingdings 2"/>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2023-07-31T04:49:00Z</dcterms:created>
  <dc:creator>zc</dc:creator>
  <cp:lastModifiedBy>zc</cp:lastModifiedBy>
  <dcterms:modified xsi:type="dcterms:W3CDTF">2023-07-31T04:49:41Z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