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jc w:val="center"/>
        <w:outlineLvl w:val="0"/>
        <w:rPr>
          <w:rFonts w:hint="eastAsia" w:ascii="宋体" w:hAnsi="宋体" w:eastAsia="宋体" w:cs="宋体"/>
          <w:b/>
          <w:bCs/>
          <w:snapToGrid w:val="0"/>
          <w:sz w:val="28"/>
          <w:szCs w:val="28"/>
          <w:lang w:val="zh-CN"/>
        </w:rPr>
      </w:pPr>
      <w:bookmarkStart w:id="17" w:name="_GoBack"/>
      <w:bookmarkStart w:id="0" w:name="_Toc23828"/>
      <w:bookmarkStart w:id="1" w:name="_Toc25099"/>
      <w:bookmarkStart w:id="2" w:name="_Toc28576"/>
      <w:bookmarkStart w:id="3" w:name="_Toc22527"/>
      <w:bookmarkStart w:id="4" w:name="_Toc112768491"/>
      <w:bookmarkStart w:id="5" w:name="_Toc128150764"/>
      <w:bookmarkStart w:id="6" w:name="_Toc21632"/>
      <w:bookmarkStart w:id="7" w:name="_Toc28299"/>
      <w:bookmarkStart w:id="8" w:name="_Toc113349538"/>
      <w:bookmarkStart w:id="9" w:name="_Toc132399046"/>
      <w:bookmarkStart w:id="10" w:name="_Toc128150571"/>
      <w:bookmarkStart w:id="11" w:name="_Toc112317781"/>
      <w:bookmarkStart w:id="12" w:name="_Toc121473167"/>
      <w:bookmarkStart w:id="13" w:name="_Toc585"/>
      <w:bookmarkStart w:id="14" w:name="_Toc128772336"/>
      <w:bookmarkStart w:id="15" w:name="_Toc130887811"/>
      <w:bookmarkStart w:id="16" w:name="_Toc24343"/>
      <w:r>
        <w:rPr>
          <w:rFonts w:hint="eastAsia" w:eastAsia="方正小标宋简体"/>
          <w:kern w:val="0"/>
          <w:sz w:val="44"/>
          <w:szCs w:val="44"/>
        </w:rPr>
        <w:t>第六章 采购项目商务和技术要求</w:t>
      </w:r>
      <w:bookmarkEnd w:id="1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spacing w:line="360" w:lineRule="auto"/>
        <w:ind w:firstLine="482" w:firstLineChars="200"/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</w:pP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按照采购单位提供的技术要求拟制。关键性技术指标参数前标记“★”符号，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重要性技术指标参数前标记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“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val="en-US" w:eastAsia="zh-CN"/>
        </w:rPr>
        <w:t>●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”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符号，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一般性指标参数前不作标记。</w:t>
      </w:r>
    </w:p>
    <w:p>
      <w:pPr>
        <w:spacing w:line="360" w:lineRule="auto"/>
        <w:ind w:firstLine="482" w:firstLineChars="200"/>
        <w:rPr>
          <w:rFonts w:ascii="Bradley Hand ITC" w:hAnsi="Bradley Hand ITC" w:cs="Microsoft Uighur"/>
          <w:b/>
          <w:bCs w:val="0"/>
          <w:i w:val="0"/>
          <w:iCs/>
          <w:sz w:val="24"/>
          <w:szCs w:val="24"/>
        </w:rPr>
      </w:pP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带“★”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和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“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val="en-US" w:eastAsia="zh-CN"/>
        </w:rPr>
        <w:t>●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”条款需提供技术支持材料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【①技术要求中明确的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技术支持材料以具体项目为准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；②未明确的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（定制产品除外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</w:rPr>
        <w:t>）</w:t>
      </w:r>
      <w:r>
        <w:rPr>
          <w:rFonts w:hint="eastAsia" w:ascii="Bradley Hand ITC" w:hAnsi="Bradley Hand ITC" w:cs="Microsoft Uighur"/>
          <w:b/>
          <w:bCs w:val="0"/>
          <w:i w:val="0"/>
          <w:iCs/>
          <w:sz w:val="24"/>
          <w:szCs w:val="24"/>
          <w:lang w:eastAsia="zh-CN"/>
        </w:rPr>
        <w:t>；③定制产品的技术支持材料可提供响应承诺。】</w:t>
      </w:r>
    </w:p>
    <w:tbl>
      <w:tblPr>
        <w:tblStyle w:val="4"/>
        <w:tblW w:w="4995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1566"/>
        <w:gridCol w:w="5122"/>
        <w:gridCol w:w="1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*1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基于护理数据和指标信息，建设护理管理监控分析平台一套。建设范围包括医院某单位内所有护理管理、护理人力、护理质控和护理教学的数据内容。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 护理信息智能决策分析平台硬件部署在院区内，后续各院区将各自护理类数据接入平台，使用相关功能。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 此项目中所有数据和分析结果未经院方相关部门允许严禁私自获取，投标方需承诺签署院方保密协议。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 平台数据产品无授权数限制。</w:t>
            </w:r>
          </w:p>
        </w:tc>
        <w:tc>
          <w:tcPr>
            <w:tcW w:w="67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其他资格性条款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 所投产品软硬件均为国产品牌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2.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提供护理类软件相关的软件著作权，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并具备自主研发能力，可根据院方要求扩展相关功能及所支持的数据库及操作系统类型。</w:t>
            </w:r>
          </w:p>
        </w:tc>
        <w:tc>
          <w:tcPr>
            <w:tcW w:w="67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 ISO9001质量管理体系证书</w:t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• 2. CMMI3级或以上认证</w:t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• 3. 信息系统业务安全服务资质证书</w:t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• 4. 企业信用等级证书AAA级及以上</w:t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strike w:val="0"/>
                <w:dstrike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5. ISO/IEC 27001:2005信息安全管理体系证书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1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项目经理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具备资质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 项目管理认证资质（PMP）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团队其他人员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具备资质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 信息系统项目管理师（高级）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0" w:hRule="atLeast"/>
        </w:trPr>
        <w:tc>
          <w:tcPr>
            <w:tcW w:w="31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服务方案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.1 总体部署要求：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（1）使用BS框架，无需安装客户端，通过浏览器访问。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*（2）需提供多院区用户的层级管理权限，可在高级管理端查看全部院区的信息数据。根据需求可支持配置不同角色、功能和权限。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*（3) 服务器存储的数据保留不少于1年，数据调取、平台展示响应时间不应超过2s。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5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.2 性能指标要求：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临床决策系统是针对护理部管理部门的日常工作设计，有效解决各科室人员数据的管理及医院上报的数据指标的汇总功能，同时需要将各科室工作标准化，规范化，需要系统的高可靠性，网络的稳定性，服务器和数据库管理等软硬件作为支持，支撑系统的性能需求包括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•（1）可靠性需求，系统保障7*24小时可用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•（2）系统响应时间应能满足各类不同应用的时效性要求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•（3）系统保证对数据存储量、数据处理量和数据吞吐量需求的有效支撑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•（4）系统满足对数据的完整性、一致性、真实性等数据质量的要求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（5）系统能够平稳的实现存储、管理、同步等操作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（6）能够在用护理有较大增加的情况下，满足对认证请求的性能要求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5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（1）人力基础管理：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提供护士职称分布柱状图分析表功能；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提供护士人员类别分布柱状图分析表功能；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提供护士男女比例分布柱状图分析表功能；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提供护士职位分布柱状图分析表功能；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提供护士学历分布柱状图分析表功能；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提供护士工作年限分布柱状图分析表功能；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提供护士年龄分布柱状图分析表功能；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提供护理离职率统计分析表功能；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提供全院护士人员检索功能，全院人员在职、离职、按科室统计在职、离职人员；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提供全院护士按职称层级、性别、学历、工作年限、年龄维度统计功能，支持显示人员数量、个人信息查看功能；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提供全院各院区承接任务经历数量展示功能；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提供月度/季度/年度新入职护士数分布柱状图分析表功能。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0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（2）实习生教学：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提供实习生基本信息（学校、姓名、护理单元、实习周期、联系方式、住址）信息维护功能，支持新增、修改、删除功能；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提供实习生分析，支持实习生生源院校、生源结构、留校对比分析；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提供实习生调查问卷，支持带教评价调查问卷、出科调查问卷；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提供实习生出科问卷调查分析，教学科室实习生问卷调查分析功能；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（3）继续教育：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提供临床教师、操作小教员、教学组长、资讯护士四类人群数量结构占比分析展示功能；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（4）工作状态看板：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提供编制内护理人员在岗状态维护管理功能；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提供护士长在岗状态维护维护功能；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提供科室缺编状态维护管理功能；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提供编制内护理人员在岗状态、护士长在岗状态、科室缺编状态以护理大屏方式汇总展示；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5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（5）敏感质量指标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提供核实床位数维护管理功能；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提供开放床位数维护管理功能；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提供敏感指标填报：填报、编辑、提交、撤销提交功能；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提供敏感指标上报功能包括人员学历、工作年限、离职数据、身体约束相关数据、导管非计划拔管相关数据；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提供敏感指标上报功能，包括按月度、季度、年度维度统计分析功能；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提供敏感指标数据上报功能，包括床护比、护患比、每住院24小时平均护理时数、患者护理级别分布占比数据；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提供质量分析月报结构化分析展示功能；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敏感指标结果指标上报功能、包括跌倒发生率、压力性损伤发生率、非计划性拔管发生率、中心血管导管相关血流感染发生率（CLABSI）、呼吸机相关性肺炎感染率（VAP)、尿管相关泌尿系感染率（VAUTI)等数据展示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对敏感指标填报内容进行基本计算和核验功能，如计算数值错误、高于国家指标标准则提供相应预警提示；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各敏感指标数值按照各季度院区历史、院区间进行柱状图分析表功能；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各项敏感指标支持单因素分析功能。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5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.3 技术及功能要求：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（6）问卷调查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提供满意度调查模板设置和修改功能，支持带教评价调查问卷、出科调查问卷、教学科室实习生问卷调查分析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提供问卷调查菜单维护管理功能。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提供满意度调查内容选项包含设置单选、多选、填空试题类型及设置各选项分数功能；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提供满意度调查任务管理功能，可设置调查模板全院、科室权限管理；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提供支持问卷调查分数计算、统计分析功能。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提供支持问卷调查二维码，手机扫描二维码进行填报。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提供满意度调查结果统计分析功能；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0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.4 系统接口要求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要求与医院各个系统做好相应接口对接，实现相关信息自动获取和关联控制，如人员档案基本信息、患者详情、敏感质量指标相关数据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（1）实现与护理管理系统的数据对接，通过视图方式对接人员基本信息，包括学历、人员类型，职称、层级、工作年限等相关信息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（2）实现与护士排班系统的数据对接，通过视图方式对接执业护士上班小时数及护士工作时长，白班执业护士小时候、夜班执业护士小时数等相关信息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（3）实现与临床护理系统的数据对接，通过视图方式获取患者身体约束日，跌倒数、压力性损伤数、非计划性拔管数等相关信息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5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.5 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理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硬件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要求：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机架式PC服务器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CPU：实配≥4*8核处理器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内存：实配≥64 GB DDR3内存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硬盘：实配≥1*1TB 10k热插拔SAS硬盘（2.5"）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2x PCI-E 8Gb Fibre Channel 光纤存储HBA卡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实配≥两个10/100/1000 Base-TX以太端口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DVD-RAM 内置光驱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操作系统： windows 2012R2标准版及以上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配置冗余电源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•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提供≥3年原厂免费保修期，自验收通过起算，保修期内硬件免费维修，软件免费升级与维护</w:t>
            </w:r>
          </w:p>
        </w:tc>
        <w:tc>
          <w:tcPr>
            <w:tcW w:w="67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提供承诺函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维修到达现场时间≤2小时</w:t>
            </w:r>
          </w:p>
        </w:tc>
        <w:tc>
          <w:tcPr>
            <w:tcW w:w="67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培训与咨询服务：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（1）维保期内根据院方需求免费提供培训服务。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（2）日常技术支持：提供7*24小时热线电话、现场技术支持服务，对于系统故障，要求提供快速响应机制，满足医院业务连续性要求。</w:t>
            </w:r>
          </w:p>
        </w:tc>
        <w:tc>
          <w:tcPr>
            <w:tcW w:w="67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31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立技术文档，本项目所有软硬件服务均需产生相应的技术文档，及时向院方提交并归档入库，包括但不限于各类解决方案、巡检文档、专项服务文档、故障处理文档、培训文档、数据结构文档、操作手册、维修手册。</w:t>
            </w:r>
          </w:p>
        </w:tc>
        <w:tc>
          <w:tcPr>
            <w:tcW w:w="67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交付时间及地点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交付地点由需求单位指定，合同签订后3个月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付款条件</w:t>
            </w:r>
          </w:p>
        </w:tc>
        <w:tc>
          <w:tcPr>
            <w:tcW w:w="3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签订合同且软件安装后付款30%，验收合格后支付65%，验收合格满一年后付款5%。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  <w:t>说明：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1.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 w:bidi="ar"/>
              </w:rPr>
              <w:t>本项目不接受负偏离，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≥1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 w:bidi="ar"/>
              </w:rPr>
              <w:t>项未达到</w:t>
            </w:r>
            <w:r>
              <w:rPr>
                <w:rStyle w:val="6"/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 w:bidi="ar"/>
              </w:rPr>
              <w:t>谈判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val="en-US" w:eastAsia="zh-CN" w:bidi="ar"/>
              </w:rPr>
              <w:t>文件要求，即做废标处理。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  <w:t xml:space="preserve">      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  <w:t>.加注“*”、“·”号的技术指标均需投标企业提供证明材料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Bradley Hand ITC">
    <w:panose1 w:val="03070402050302030203"/>
    <w:charset w:val="00"/>
    <w:family w:val="script"/>
    <w:pitch w:val="default"/>
    <w:sig w:usb0="00000003" w:usb1="00000000" w:usb2="00000000" w:usb3="00000000" w:csb0="20000001" w:csb1="00000000"/>
  </w:font>
  <w:font w:name="Microsoft Uighur">
    <w:altName w:val="Wide Latin"/>
    <w:panose1 w:val="02000000000000000000"/>
    <w:charset w:val="B2"/>
    <w:family w:val="auto"/>
    <w:pitch w:val="default"/>
    <w:sig w:usb0="00000000" w:usb1="00000000" w:usb2="00000008" w:usb3="00000000" w:csb0="00000041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C4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2023-11-01T08:53:44Z</dcterms:created>
  <dc:creator>hp</dc:creator>
  <cp:lastModifiedBy>hp</cp:lastModifiedBy>
  <dcterms:modified xsi:type="dcterms:W3CDTF">2023-11-01T08:53:59Z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