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9378" w:type="dxa"/>
        <w:tblInd w:w="0" w:type="dxa"/>
        <w:shd w:val="clear" w:color="auto" w:fill="auto"/>
        <w:tblLayout w:type="fixed"/>
        <w:tblCellMar>
          <w:top w:w="0" w:type="dxa"/>
          <w:left w:w="0" w:type="dxa"/>
          <w:bottom w:w="0" w:type="dxa"/>
          <w:right w:w="0" w:type="dxa"/>
        </w:tblCellMar>
      </w:tblPr>
      <w:tblGrid>
        <w:gridCol w:w="937"/>
        <w:gridCol w:w="1949"/>
        <w:gridCol w:w="640"/>
        <w:gridCol w:w="1162"/>
        <w:gridCol w:w="1307"/>
        <w:gridCol w:w="1605"/>
        <w:gridCol w:w="1778"/>
      </w:tblGrid>
      <w:tr>
        <w:tblPrEx>
          <w:shd w:val="clear" w:color="auto" w:fill="auto"/>
          <w:tblLayout w:type="fixed"/>
          <w:tblCellMar>
            <w:top w:w="0" w:type="dxa"/>
            <w:left w:w="0" w:type="dxa"/>
            <w:bottom w:w="0" w:type="dxa"/>
            <w:right w:w="0" w:type="dxa"/>
          </w:tblCellMar>
        </w:tblPrEx>
        <w:trPr>
          <w:trHeight w:val="762" w:hRule="atLeast"/>
        </w:trPr>
        <w:tc>
          <w:tcPr>
            <w:tcW w:w="9378" w:type="dxa"/>
            <w:gridSpan w:val="7"/>
            <w:tcBorders>
              <w:top w:val="nil"/>
              <w:left w:val="nil"/>
              <w:bottom w:val="nil"/>
              <w:right w:val="nil"/>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b/>
                <w:i w:val="0"/>
                <w:color w:val="000000"/>
                <w:sz w:val="40"/>
                <w:szCs w:val="40"/>
                <w:u w:val="none"/>
              </w:rPr>
            </w:pPr>
            <w:r>
              <w:rPr>
                <w:rFonts w:hint="eastAsia" w:ascii="方正小标宋简体" w:hAnsi="方正小标宋简体" w:eastAsia="方正小标宋简体" w:cs="方正小标宋简体"/>
                <w:b/>
                <w:i w:val="0"/>
                <w:color w:val="000000"/>
                <w:kern w:val="0"/>
                <w:sz w:val="40"/>
                <w:szCs w:val="40"/>
                <w:u w:val="none"/>
                <w:lang w:val="en-US" w:eastAsia="zh-CN" w:bidi="ar"/>
              </w:rPr>
              <w:t>医疗设备技术需求确认表</w:t>
            </w:r>
          </w:p>
        </w:tc>
      </w:tr>
      <w:tr>
        <w:tblPrEx>
          <w:tblLayout w:type="fixed"/>
          <w:tblCellMar>
            <w:top w:w="0" w:type="dxa"/>
            <w:left w:w="0" w:type="dxa"/>
            <w:bottom w:w="0" w:type="dxa"/>
            <w:right w:w="0" w:type="dxa"/>
          </w:tblCellMar>
        </w:tblPrEx>
        <w:trPr>
          <w:trHeight w:val="702" w:hRule="atLeast"/>
        </w:trPr>
        <w:tc>
          <w:tcPr>
            <w:tcW w:w="9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设备名称</w:t>
            </w:r>
          </w:p>
        </w:tc>
        <w:tc>
          <w:tcPr>
            <w:tcW w:w="2589"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特定蛋白分析仪</w:t>
            </w:r>
          </w:p>
        </w:tc>
        <w:tc>
          <w:tcPr>
            <w:tcW w:w="116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总数量（台/套）</w:t>
            </w:r>
          </w:p>
        </w:tc>
        <w:tc>
          <w:tcPr>
            <w:tcW w:w="130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1</w:t>
            </w:r>
          </w:p>
        </w:tc>
        <w:tc>
          <w:tcPr>
            <w:tcW w:w="1605"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预算总金额（万元）</w:t>
            </w:r>
          </w:p>
        </w:tc>
        <w:tc>
          <w:tcPr>
            <w:tcW w:w="177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29</w:t>
            </w:r>
          </w:p>
        </w:tc>
      </w:tr>
      <w:tr>
        <w:tblPrEx>
          <w:tblLayout w:type="fixed"/>
          <w:tblCellMar>
            <w:top w:w="0" w:type="dxa"/>
            <w:left w:w="0" w:type="dxa"/>
            <w:bottom w:w="0" w:type="dxa"/>
            <w:right w:w="0" w:type="dxa"/>
          </w:tblCellMar>
        </w:tblPrEx>
        <w:trPr>
          <w:trHeight w:val="799" w:hRule="atLeast"/>
        </w:trPr>
        <w:tc>
          <w:tcPr>
            <w:tcW w:w="9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序号</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技术和性能参数名称</w:t>
            </w:r>
          </w:p>
        </w:tc>
        <w:tc>
          <w:tcPr>
            <w:tcW w:w="4714"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招标参数和性能要求</w:t>
            </w:r>
          </w:p>
        </w:tc>
        <w:tc>
          <w:tcPr>
            <w:tcW w:w="177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备注</w:t>
            </w:r>
          </w:p>
        </w:tc>
      </w:tr>
      <w:tr>
        <w:tblPrEx>
          <w:tblLayout w:type="fixed"/>
          <w:tblCellMar>
            <w:top w:w="0" w:type="dxa"/>
            <w:left w:w="0" w:type="dxa"/>
            <w:bottom w:w="0" w:type="dxa"/>
            <w:right w:w="0" w:type="dxa"/>
          </w:tblCellMar>
        </w:tblPrEx>
        <w:trPr>
          <w:trHeight w:val="765" w:hRule="atLeast"/>
        </w:trPr>
        <w:tc>
          <w:tcPr>
            <w:tcW w:w="9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基本要求</w:t>
            </w:r>
          </w:p>
        </w:tc>
        <w:tc>
          <w:tcPr>
            <w:tcW w:w="4714"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用于免疫球蛋白、C反应蛋白，微量白蛋白等特定蛋白检测项目，对心血管疾病、自身免疫性疾病、炎症等辅助诊断</w:t>
            </w:r>
          </w:p>
        </w:tc>
        <w:tc>
          <w:tcPr>
            <w:tcW w:w="177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15" w:hRule="atLeast"/>
        </w:trPr>
        <w:tc>
          <w:tcPr>
            <w:tcW w:w="937"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资质认证</w:t>
            </w:r>
          </w:p>
        </w:tc>
        <w:tc>
          <w:tcPr>
            <w:tcW w:w="4714"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p>
        </w:tc>
        <w:tc>
          <w:tcPr>
            <w:tcW w:w="177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15" w:hRule="atLeast"/>
        </w:trPr>
        <w:tc>
          <w:tcPr>
            <w:tcW w:w="9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*2.1</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CFDA认证</w:t>
            </w:r>
          </w:p>
        </w:tc>
        <w:tc>
          <w:tcPr>
            <w:tcW w:w="4714"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lang w:eastAsia="zh-CN"/>
              </w:rPr>
            </w:pPr>
            <w:r>
              <w:rPr>
                <w:rFonts w:hint="eastAsia" w:ascii="宋体" w:hAnsi="宋体" w:eastAsia="宋体" w:cs="宋体"/>
                <w:i w:val="0"/>
                <w:color w:val="000000"/>
                <w:sz w:val="22"/>
                <w:szCs w:val="22"/>
                <w:u w:val="none"/>
                <w:lang w:eastAsia="zh-CN"/>
              </w:rPr>
              <w:t>具备</w:t>
            </w:r>
          </w:p>
        </w:tc>
        <w:tc>
          <w:tcPr>
            <w:tcW w:w="177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15" w:hRule="atLeast"/>
        </w:trPr>
        <w:tc>
          <w:tcPr>
            <w:tcW w:w="9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cs="宋体"/>
                <w:i w:val="0"/>
                <w:color w:val="000000"/>
                <w:kern w:val="0"/>
                <w:sz w:val="22"/>
                <w:szCs w:val="22"/>
                <w:u w:val="none"/>
                <w:lang w:val="en-US" w:eastAsia="zh-CN" w:bidi="ar"/>
              </w:rPr>
              <w:t>·2.2</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CE认证</w:t>
            </w:r>
          </w:p>
        </w:tc>
        <w:tc>
          <w:tcPr>
            <w:tcW w:w="4714"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lang w:eastAsia="zh-CN"/>
              </w:rPr>
            </w:pPr>
            <w:r>
              <w:rPr>
                <w:rFonts w:hint="eastAsia" w:ascii="宋体" w:hAnsi="宋体" w:eastAsia="宋体" w:cs="宋体"/>
                <w:i w:val="0"/>
                <w:color w:val="000000"/>
                <w:sz w:val="22"/>
                <w:szCs w:val="22"/>
                <w:u w:val="none"/>
                <w:lang w:eastAsia="zh-CN"/>
              </w:rPr>
              <w:t>具备</w:t>
            </w:r>
          </w:p>
        </w:tc>
        <w:tc>
          <w:tcPr>
            <w:tcW w:w="177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15" w:hRule="atLeast"/>
        </w:trPr>
        <w:tc>
          <w:tcPr>
            <w:tcW w:w="9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技术和性能参数</w:t>
            </w:r>
          </w:p>
        </w:tc>
        <w:tc>
          <w:tcPr>
            <w:tcW w:w="4714"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c>
          <w:tcPr>
            <w:tcW w:w="177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00" w:hRule="atLeast"/>
        </w:trPr>
        <w:tc>
          <w:tcPr>
            <w:tcW w:w="9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测定原理</w:t>
            </w:r>
          </w:p>
        </w:tc>
        <w:tc>
          <w:tcPr>
            <w:tcW w:w="4714"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散射比浊法</w:t>
            </w:r>
          </w:p>
        </w:tc>
        <w:tc>
          <w:tcPr>
            <w:tcW w:w="177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15" w:hRule="atLeast"/>
        </w:trPr>
        <w:tc>
          <w:tcPr>
            <w:tcW w:w="9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3.2</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测试速度</w:t>
            </w:r>
          </w:p>
        </w:tc>
        <w:tc>
          <w:tcPr>
            <w:tcW w:w="4714"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≥160测试/小时</w:t>
            </w:r>
          </w:p>
        </w:tc>
        <w:tc>
          <w:tcPr>
            <w:tcW w:w="177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15" w:hRule="atLeast"/>
        </w:trPr>
        <w:tc>
          <w:tcPr>
            <w:tcW w:w="9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抗原过量检测项目</w:t>
            </w:r>
          </w:p>
        </w:tc>
        <w:tc>
          <w:tcPr>
            <w:tcW w:w="4714" w:type="dxa"/>
            <w:gridSpan w:val="4"/>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≥10项</w:t>
            </w:r>
          </w:p>
        </w:tc>
        <w:tc>
          <w:tcPr>
            <w:tcW w:w="177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 </w:t>
            </w:r>
          </w:p>
        </w:tc>
      </w:tr>
      <w:tr>
        <w:tblPrEx>
          <w:tblLayout w:type="fixed"/>
          <w:tblCellMar>
            <w:top w:w="0" w:type="dxa"/>
            <w:left w:w="0" w:type="dxa"/>
            <w:bottom w:w="0" w:type="dxa"/>
            <w:right w:w="0" w:type="dxa"/>
          </w:tblCellMar>
        </w:tblPrEx>
        <w:trPr>
          <w:trHeight w:val="615" w:hRule="atLeast"/>
        </w:trPr>
        <w:tc>
          <w:tcPr>
            <w:tcW w:w="9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3.4</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样本位</w:t>
            </w:r>
          </w:p>
        </w:tc>
        <w:tc>
          <w:tcPr>
            <w:tcW w:w="4714"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r>
              <w:rPr>
                <w:rStyle w:val="7"/>
                <w:lang w:val="en-US" w:eastAsia="zh-CN" w:bidi="ar"/>
              </w:rPr>
              <w:t>0个，可连续进样</w:t>
            </w:r>
          </w:p>
        </w:tc>
        <w:tc>
          <w:tcPr>
            <w:tcW w:w="177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15" w:hRule="atLeast"/>
        </w:trPr>
        <w:tc>
          <w:tcPr>
            <w:tcW w:w="9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试剂位</w:t>
            </w:r>
          </w:p>
        </w:tc>
        <w:tc>
          <w:tcPr>
            <w:tcW w:w="4714"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≥20个，并有低温封闭试剂仓</w:t>
            </w:r>
          </w:p>
        </w:tc>
        <w:tc>
          <w:tcPr>
            <w:tcW w:w="177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527" w:hRule="atLeast"/>
        </w:trPr>
        <w:tc>
          <w:tcPr>
            <w:tcW w:w="9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3.6</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样本类型</w:t>
            </w:r>
          </w:p>
        </w:tc>
        <w:tc>
          <w:tcPr>
            <w:tcW w:w="4714" w:type="dxa"/>
            <w:gridSpan w:val="4"/>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血清，血浆，尿液，脑脊液等</w:t>
            </w:r>
          </w:p>
        </w:tc>
        <w:tc>
          <w:tcPr>
            <w:tcW w:w="177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413" w:hRule="atLeast"/>
        </w:trPr>
        <w:tc>
          <w:tcPr>
            <w:tcW w:w="9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3.7</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反应杯</w:t>
            </w:r>
          </w:p>
        </w:tc>
        <w:tc>
          <w:tcPr>
            <w:tcW w:w="4714"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≥35个</w:t>
            </w:r>
          </w:p>
        </w:tc>
        <w:tc>
          <w:tcPr>
            <w:tcW w:w="177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416" w:hRule="atLeast"/>
        </w:trPr>
        <w:tc>
          <w:tcPr>
            <w:tcW w:w="9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3.8</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项目扩展功能</w:t>
            </w:r>
          </w:p>
        </w:tc>
        <w:tc>
          <w:tcPr>
            <w:tcW w:w="4714"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具备</w:t>
            </w:r>
          </w:p>
        </w:tc>
        <w:tc>
          <w:tcPr>
            <w:tcW w:w="177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425" w:hRule="atLeast"/>
        </w:trPr>
        <w:tc>
          <w:tcPr>
            <w:tcW w:w="9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·3.9</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激光光源</w:t>
            </w:r>
          </w:p>
        </w:tc>
        <w:tc>
          <w:tcPr>
            <w:tcW w:w="4714"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具备双光源</w:t>
            </w:r>
          </w:p>
        </w:tc>
        <w:tc>
          <w:tcPr>
            <w:tcW w:w="177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15" w:hRule="atLeast"/>
        </w:trPr>
        <w:tc>
          <w:tcPr>
            <w:tcW w:w="9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3.10</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定标</w:t>
            </w:r>
          </w:p>
        </w:tc>
        <w:tc>
          <w:tcPr>
            <w:tcW w:w="4714"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cs="宋体"/>
                <w:i w:val="0"/>
                <w:color w:val="000000"/>
                <w:kern w:val="0"/>
                <w:sz w:val="22"/>
                <w:szCs w:val="22"/>
                <w:u w:val="none"/>
                <w:lang w:val="en-US" w:eastAsia="zh-CN" w:bidi="ar"/>
              </w:rPr>
              <w:t>具备</w:t>
            </w:r>
            <w:r>
              <w:rPr>
                <w:rFonts w:hint="eastAsia" w:ascii="宋体" w:hAnsi="宋体" w:eastAsia="宋体" w:cs="宋体"/>
                <w:i w:val="0"/>
                <w:color w:val="000000"/>
                <w:kern w:val="0"/>
                <w:sz w:val="22"/>
                <w:szCs w:val="22"/>
                <w:u w:val="none"/>
                <w:lang w:val="en-US" w:eastAsia="zh-CN" w:bidi="ar"/>
              </w:rPr>
              <w:t>定标</w:t>
            </w:r>
            <w:r>
              <w:rPr>
                <w:rFonts w:hint="eastAsia" w:ascii="宋体" w:hAnsi="宋体" w:cs="宋体"/>
                <w:i w:val="0"/>
                <w:color w:val="000000"/>
                <w:kern w:val="0"/>
                <w:sz w:val="22"/>
                <w:szCs w:val="22"/>
                <w:u w:val="none"/>
                <w:lang w:val="en-US" w:eastAsia="zh-CN" w:bidi="ar"/>
              </w:rPr>
              <w:t>功能</w:t>
            </w:r>
          </w:p>
        </w:tc>
        <w:tc>
          <w:tcPr>
            <w:tcW w:w="177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15" w:hRule="atLeast"/>
        </w:trPr>
        <w:tc>
          <w:tcPr>
            <w:tcW w:w="9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·3.11</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可检测项目</w:t>
            </w:r>
          </w:p>
        </w:tc>
        <w:tc>
          <w:tcPr>
            <w:tcW w:w="4714"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cs="宋体"/>
                <w:i w:val="0"/>
                <w:color w:val="000000"/>
                <w:kern w:val="0"/>
                <w:sz w:val="22"/>
                <w:szCs w:val="22"/>
                <w:u w:val="none"/>
                <w:lang w:val="en-US" w:eastAsia="zh-CN" w:bidi="ar"/>
              </w:rPr>
              <w:t>可开展现有血、尿样本免疫球蛋白KAP、LAM轻链项目，还可开展其它免疫球蛋白、补体C3/C4、IgG4、铜蓝蛋白、转铁蛋白、微量白蛋白等特种蛋白检测项目</w:t>
            </w:r>
          </w:p>
        </w:tc>
        <w:tc>
          <w:tcPr>
            <w:tcW w:w="177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413" w:hRule="atLeast"/>
        </w:trPr>
        <w:tc>
          <w:tcPr>
            <w:tcW w:w="9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3.12</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降噪功能</w:t>
            </w:r>
          </w:p>
        </w:tc>
        <w:tc>
          <w:tcPr>
            <w:tcW w:w="4714"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具备</w:t>
            </w:r>
          </w:p>
        </w:tc>
        <w:tc>
          <w:tcPr>
            <w:tcW w:w="177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15" w:hRule="atLeast"/>
        </w:trPr>
        <w:tc>
          <w:tcPr>
            <w:tcW w:w="9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·3.13</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结果溯源性</w:t>
            </w:r>
          </w:p>
        </w:tc>
        <w:tc>
          <w:tcPr>
            <w:tcW w:w="4714"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有仪器原厂配套试剂、校准品和质控品，并有完整的溯源体系，结果可溯源至IFCC，NIST，WHO等权威组织的参考系统</w:t>
            </w:r>
          </w:p>
        </w:tc>
        <w:tc>
          <w:tcPr>
            <w:tcW w:w="177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485" w:hRule="atLeast"/>
        </w:trPr>
        <w:tc>
          <w:tcPr>
            <w:tcW w:w="9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*3.14</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管理软件</w:t>
            </w:r>
          </w:p>
        </w:tc>
        <w:tc>
          <w:tcPr>
            <w:tcW w:w="4714"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可与本医院</w:t>
            </w:r>
            <w:r>
              <w:rPr>
                <w:rFonts w:hint="eastAsia" w:ascii="宋体" w:hAnsi="宋体" w:cs="宋体"/>
                <w:i w:val="0"/>
                <w:color w:val="000000"/>
                <w:kern w:val="0"/>
                <w:sz w:val="22"/>
                <w:szCs w:val="22"/>
                <w:u w:val="none"/>
                <w:lang w:val="en-US" w:eastAsia="zh-CN" w:bidi="ar"/>
              </w:rPr>
              <w:t>L</w:t>
            </w:r>
            <w:r>
              <w:rPr>
                <w:rFonts w:hint="eastAsia" w:ascii="宋体" w:hAnsi="宋体" w:eastAsia="宋体" w:cs="宋体"/>
                <w:i w:val="0"/>
                <w:color w:val="000000"/>
                <w:kern w:val="0"/>
                <w:sz w:val="22"/>
                <w:szCs w:val="22"/>
                <w:u w:val="none"/>
                <w:lang w:val="en-US" w:eastAsia="zh-CN" w:bidi="ar"/>
              </w:rPr>
              <w:t>IS系统相连</w:t>
            </w:r>
          </w:p>
        </w:tc>
        <w:tc>
          <w:tcPr>
            <w:tcW w:w="177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15" w:hRule="atLeast"/>
        </w:trPr>
        <w:tc>
          <w:tcPr>
            <w:tcW w:w="9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w:t>
            </w:r>
            <w:r>
              <w:rPr>
                <w:rFonts w:hint="eastAsia" w:ascii="宋体" w:hAnsi="宋体" w:cs="宋体"/>
                <w:i w:val="0"/>
                <w:color w:val="000000"/>
                <w:kern w:val="0"/>
                <w:sz w:val="22"/>
                <w:szCs w:val="22"/>
                <w:u w:val="none"/>
                <w:lang w:val="en-US" w:eastAsia="zh-CN" w:bidi="ar"/>
              </w:rPr>
              <w:t>5</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报警及安全指标</w:t>
            </w:r>
          </w:p>
        </w:tc>
        <w:tc>
          <w:tcPr>
            <w:tcW w:w="4714"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设备指标异常提示和安全报警声、光指示</w:t>
            </w:r>
          </w:p>
        </w:tc>
        <w:tc>
          <w:tcPr>
            <w:tcW w:w="177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15" w:hRule="atLeast"/>
        </w:trPr>
        <w:tc>
          <w:tcPr>
            <w:tcW w:w="9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配置需求</w:t>
            </w:r>
          </w:p>
        </w:tc>
        <w:tc>
          <w:tcPr>
            <w:tcW w:w="4714"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主机*1、电脑1套、及附属配件、设备专用软件</w:t>
            </w:r>
          </w:p>
        </w:tc>
        <w:tc>
          <w:tcPr>
            <w:tcW w:w="177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15" w:hRule="atLeast"/>
        </w:trPr>
        <w:tc>
          <w:tcPr>
            <w:tcW w:w="9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配套耗材</w:t>
            </w:r>
          </w:p>
        </w:tc>
        <w:tc>
          <w:tcPr>
            <w:tcW w:w="4714"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具体年用量详见附件</w:t>
            </w:r>
          </w:p>
        </w:tc>
        <w:tc>
          <w:tcPr>
            <w:tcW w:w="177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15" w:hRule="atLeast"/>
        </w:trPr>
        <w:tc>
          <w:tcPr>
            <w:tcW w:w="9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售后条款</w:t>
            </w:r>
          </w:p>
        </w:tc>
        <w:tc>
          <w:tcPr>
            <w:tcW w:w="4714"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c>
          <w:tcPr>
            <w:tcW w:w="1778" w:type="dxa"/>
            <w:tcBorders>
              <w:top w:val="nil"/>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883" w:hRule="atLeast"/>
        </w:trPr>
        <w:tc>
          <w:tcPr>
            <w:tcW w:w="9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*6.1</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原厂保修年限</w:t>
            </w:r>
          </w:p>
        </w:tc>
        <w:tc>
          <w:tcPr>
            <w:tcW w:w="4714"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≥3年，保修期内开机率不低于95%（按365日/年计算，含节假日)，未达到要求的开机率天数，按双倍天数顺延保修期。</w:t>
            </w:r>
          </w:p>
        </w:tc>
        <w:tc>
          <w:tcPr>
            <w:tcW w:w="177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980" w:hRule="atLeast"/>
        </w:trPr>
        <w:tc>
          <w:tcPr>
            <w:tcW w:w="9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*6.2</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零配件支持</w:t>
            </w:r>
          </w:p>
        </w:tc>
        <w:tc>
          <w:tcPr>
            <w:tcW w:w="4714"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提供消耗性配件（年平均更换大于1次的配件）和高值配件（价格大于设备成交价5%以上）的报价清单，且高值配件报价之和不得高于设备成交价的110%，不在上述要求配件清单内的消耗性配件和高值配件视为免费提供</w:t>
            </w:r>
          </w:p>
        </w:tc>
        <w:tc>
          <w:tcPr>
            <w:tcW w:w="177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60" w:hRule="atLeast"/>
        </w:trPr>
        <w:tc>
          <w:tcPr>
            <w:tcW w:w="9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6.3</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零配件保证供应时长</w:t>
            </w:r>
          </w:p>
        </w:tc>
        <w:tc>
          <w:tcPr>
            <w:tcW w:w="4714"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厂家自报</w:t>
            </w:r>
          </w:p>
        </w:tc>
        <w:tc>
          <w:tcPr>
            <w:tcW w:w="177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24" w:hRule="atLeast"/>
        </w:trPr>
        <w:tc>
          <w:tcPr>
            <w:tcW w:w="9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6.4</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到位维修响应</w:t>
            </w:r>
          </w:p>
        </w:tc>
        <w:tc>
          <w:tcPr>
            <w:tcW w:w="4714"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维修到达现场时间≤0.5个工作日（京内）</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维修到达现场时间≤3个工作日（京外）</w:t>
            </w:r>
          </w:p>
        </w:tc>
        <w:tc>
          <w:tcPr>
            <w:tcW w:w="177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94" w:hRule="atLeast"/>
        </w:trPr>
        <w:tc>
          <w:tcPr>
            <w:tcW w:w="9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*6.5</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保修期外维修费用</w:t>
            </w:r>
          </w:p>
        </w:tc>
        <w:tc>
          <w:tcPr>
            <w:tcW w:w="4714"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提供免费保修期外的年度整机保修费用价格，提供维修工时费计算方法及价格</w:t>
            </w:r>
          </w:p>
        </w:tc>
        <w:tc>
          <w:tcPr>
            <w:tcW w:w="177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703" w:hRule="atLeast"/>
        </w:trPr>
        <w:tc>
          <w:tcPr>
            <w:tcW w:w="9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·6.6</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技术支持和服务网点</w:t>
            </w:r>
          </w:p>
        </w:tc>
        <w:tc>
          <w:tcPr>
            <w:tcW w:w="4714"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提供全国主要城市售后服务网点及售后人员数量</w:t>
            </w:r>
          </w:p>
        </w:tc>
        <w:tc>
          <w:tcPr>
            <w:tcW w:w="177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10" w:hRule="atLeast"/>
        </w:trPr>
        <w:tc>
          <w:tcPr>
            <w:tcW w:w="9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·6.7</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升级与软件维护</w:t>
            </w:r>
          </w:p>
        </w:tc>
        <w:tc>
          <w:tcPr>
            <w:tcW w:w="4714"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保修期内免费升级和软件维护；保修期外，原软件维护仅收工时费</w:t>
            </w:r>
          </w:p>
        </w:tc>
        <w:tc>
          <w:tcPr>
            <w:tcW w:w="177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633" w:hRule="atLeast"/>
        </w:trPr>
        <w:tc>
          <w:tcPr>
            <w:tcW w:w="9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·6.8</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专用工具、资料及其它</w:t>
            </w:r>
          </w:p>
        </w:tc>
        <w:tc>
          <w:tcPr>
            <w:tcW w:w="4714"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提供设备配套的维修专用工具，资料（操作手册、维修手册等）</w:t>
            </w:r>
          </w:p>
        </w:tc>
        <w:tc>
          <w:tcPr>
            <w:tcW w:w="177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518" w:hRule="atLeast"/>
        </w:trPr>
        <w:tc>
          <w:tcPr>
            <w:tcW w:w="93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·6.9</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培训</w:t>
            </w:r>
          </w:p>
        </w:tc>
        <w:tc>
          <w:tcPr>
            <w:tcW w:w="4714"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提供使用培训和工程师原厂培训</w:t>
            </w:r>
          </w:p>
        </w:tc>
        <w:tc>
          <w:tcPr>
            <w:tcW w:w="177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588" w:hRule="atLeast"/>
        </w:trPr>
        <w:tc>
          <w:tcPr>
            <w:tcW w:w="937"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6.10</w:t>
            </w:r>
          </w:p>
        </w:tc>
        <w:tc>
          <w:tcPr>
            <w:tcW w:w="1949"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交货期</w:t>
            </w:r>
          </w:p>
        </w:tc>
        <w:tc>
          <w:tcPr>
            <w:tcW w:w="4714"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合同签订后3个月内交货</w:t>
            </w:r>
          </w:p>
        </w:tc>
        <w:tc>
          <w:tcPr>
            <w:tcW w:w="1778"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789" w:hRule="atLeast"/>
        </w:trPr>
        <w:tc>
          <w:tcPr>
            <w:tcW w:w="937"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7</w:t>
            </w:r>
          </w:p>
        </w:tc>
        <w:tc>
          <w:tcPr>
            <w:tcW w:w="1949"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配套医用</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耗材（试剂）需求</w:t>
            </w:r>
          </w:p>
        </w:tc>
        <w:tc>
          <w:tcPr>
            <w:tcW w:w="4714"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封闭耗材</w:t>
            </w:r>
          </w:p>
        </w:tc>
        <w:tc>
          <w:tcPr>
            <w:tcW w:w="1778" w:type="dxa"/>
            <w:tcBorders>
              <w:top w:val="single" w:color="000000" w:sz="4" w:space="0"/>
              <w:left w:val="single" w:color="000000" w:sz="4" w:space="0"/>
              <w:bottom w:val="nil"/>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1783" w:hRule="atLeast"/>
        </w:trPr>
        <w:tc>
          <w:tcPr>
            <w:tcW w:w="9378" w:type="dxa"/>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备注：</w:t>
            </w:r>
            <w:r>
              <w:rPr>
                <w:rFonts w:hint="default" w:ascii="Times New Roman" w:hAnsi="Times New Roman" w:eastAsia="宋体" w:cs="Times New Roman"/>
                <w:i w:val="0"/>
                <w:color w:val="000000"/>
                <w:kern w:val="0"/>
                <w:sz w:val="24"/>
                <w:szCs w:val="24"/>
                <w:u w:val="none"/>
                <w:lang w:val="en-US" w:eastAsia="zh-CN" w:bidi="ar"/>
              </w:rPr>
              <w:t xml:space="preserve">1. </w:t>
            </w:r>
            <w:r>
              <w:rPr>
                <w:rFonts w:hint="eastAsia" w:ascii="宋体" w:hAnsi="宋体" w:eastAsia="宋体" w:cs="宋体"/>
                <w:i w:val="0"/>
                <w:color w:val="000000"/>
                <w:kern w:val="0"/>
                <w:sz w:val="24"/>
                <w:szCs w:val="24"/>
                <w:u w:val="none"/>
                <w:lang w:val="en-US" w:eastAsia="zh-CN" w:bidi="ar"/>
              </w:rPr>
              <w:t>加注“*”号的技术指标为关键指标，≥1项未达到招标文件要求，即做废标处理。</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2.加注“</w:t>
            </w:r>
            <w:r>
              <w:rPr>
                <w:rFonts w:hint="eastAsia" w:ascii="宋体" w:hAnsi="宋体" w:eastAsia="宋体" w:cs="宋体"/>
                <w:i w:val="0"/>
                <w:color w:val="000000"/>
                <w:kern w:val="0"/>
                <w:sz w:val="40"/>
                <w:szCs w:val="40"/>
                <w:u w:val="none"/>
                <w:lang w:val="en-US" w:eastAsia="zh-CN" w:bidi="ar"/>
              </w:rPr>
              <w:t>·</w:t>
            </w:r>
            <w:r>
              <w:rPr>
                <w:rFonts w:hint="eastAsia" w:ascii="宋体" w:hAnsi="宋体" w:eastAsia="宋体" w:cs="宋体"/>
                <w:i w:val="0"/>
                <w:color w:val="000000"/>
                <w:kern w:val="0"/>
                <w:sz w:val="24"/>
                <w:szCs w:val="24"/>
                <w:u w:val="none"/>
                <w:lang w:val="en-US" w:eastAsia="zh-CN" w:bidi="ar"/>
              </w:rPr>
              <w:t>”号的技术指标为重要指标。</w:t>
            </w:r>
            <w:r>
              <w:rPr>
                <w:rFonts w:hint="eastAsia" w:ascii="宋体" w:hAnsi="宋体" w:eastAsia="宋体" w:cs="宋体"/>
                <w:i w:val="0"/>
                <w:color w:val="000000"/>
                <w:kern w:val="0"/>
                <w:sz w:val="24"/>
                <w:szCs w:val="24"/>
                <w:u w:val="none"/>
                <w:lang w:val="en-US" w:eastAsia="zh-CN" w:bidi="ar"/>
              </w:rPr>
              <w:br w:type="textWrapping"/>
            </w:r>
            <w:r>
              <w:rPr>
                <w:rFonts w:hint="eastAsia" w:ascii="宋体" w:hAnsi="宋体" w:eastAsia="宋体" w:cs="宋体"/>
                <w:i w:val="0"/>
                <w:color w:val="000000"/>
                <w:kern w:val="0"/>
                <w:sz w:val="24"/>
                <w:szCs w:val="24"/>
                <w:u w:val="none"/>
                <w:lang w:val="en-US" w:eastAsia="zh-CN" w:bidi="ar"/>
              </w:rPr>
              <w:t xml:space="preserve">      3.加注“*”、“</w:t>
            </w:r>
            <w:r>
              <w:rPr>
                <w:rFonts w:hint="eastAsia" w:ascii="宋体" w:hAnsi="宋体" w:eastAsia="宋体" w:cs="宋体"/>
                <w:i w:val="0"/>
                <w:color w:val="000000"/>
                <w:kern w:val="0"/>
                <w:sz w:val="40"/>
                <w:szCs w:val="40"/>
                <w:u w:val="none"/>
                <w:lang w:val="en-US" w:eastAsia="zh-CN" w:bidi="ar"/>
              </w:rPr>
              <w:t>·</w:t>
            </w:r>
            <w:r>
              <w:rPr>
                <w:rFonts w:hint="eastAsia" w:ascii="宋体" w:hAnsi="宋体" w:eastAsia="宋体" w:cs="宋体"/>
                <w:i w:val="0"/>
                <w:color w:val="000000"/>
                <w:kern w:val="0"/>
                <w:sz w:val="24"/>
                <w:szCs w:val="24"/>
                <w:u w:val="none"/>
                <w:lang w:val="en-US" w:eastAsia="zh-CN" w:bidi="ar"/>
              </w:rPr>
              <w:t>”号的技术指标均需投标企业提供证明材料。</w:t>
            </w:r>
          </w:p>
        </w:tc>
      </w:tr>
    </w:tbl>
    <w:p>
      <w:pPr>
        <w:keepNext w:val="0"/>
        <w:keepLines w:val="0"/>
        <w:widowControl/>
        <w:suppressLineNumbers w:val="0"/>
        <w:jc w:val="center"/>
        <w:textAlignment w:val="center"/>
        <w:rPr>
          <w:rFonts w:hint="eastAsia" w:ascii="方正小标宋简体" w:hAnsi="方正小标宋简体" w:eastAsia="方正小标宋简体" w:cs="方正小标宋简体"/>
          <w:i w:val="0"/>
          <w:color w:val="000000"/>
          <w:kern w:val="0"/>
          <w:sz w:val="36"/>
          <w:szCs w:val="36"/>
          <w:u w:val="none"/>
          <w:lang w:val="en-US" w:eastAsia="zh-CN" w:bidi="ar"/>
        </w:rPr>
        <w:sectPr>
          <w:pgSz w:w="11906" w:h="16838"/>
          <w:pgMar w:top="1418" w:right="1134" w:bottom="1418" w:left="1418" w:header="851" w:footer="992" w:gutter="0"/>
          <w:pgBorders>
            <w:top w:val="none" w:sz="0" w:space="0"/>
            <w:left w:val="none" w:sz="0" w:space="0"/>
            <w:bottom w:val="none" w:sz="0" w:space="0"/>
            <w:right w:val="none" w:sz="0" w:space="0"/>
          </w:pgBorders>
          <w:cols w:space="720" w:num="1"/>
          <w:docGrid w:linePitch="312" w:charSpace="0"/>
        </w:sectPr>
      </w:pPr>
    </w:p>
    <w:tbl>
      <w:tblPr>
        <w:tblStyle w:val="5"/>
        <w:tblW w:w="9763" w:type="dxa"/>
        <w:tblInd w:w="0" w:type="dxa"/>
        <w:shd w:val="clear" w:color="auto" w:fill="auto"/>
        <w:tblLayout w:type="fixed"/>
        <w:tblCellMar>
          <w:top w:w="0" w:type="dxa"/>
          <w:left w:w="0" w:type="dxa"/>
          <w:bottom w:w="0" w:type="dxa"/>
          <w:right w:w="0" w:type="dxa"/>
        </w:tblCellMar>
      </w:tblPr>
      <w:tblGrid>
        <w:gridCol w:w="750"/>
        <w:gridCol w:w="2"/>
        <w:gridCol w:w="2055"/>
        <w:gridCol w:w="6"/>
        <w:gridCol w:w="1106"/>
        <w:gridCol w:w="3684"/>
        <w:gridCol w:w="2160"/>
      </w:tblGrid>
      <w:tr>
        <w:tblPrEx>
          <w:shd w:val="clear" w:color="auto" w:fill="auto"/>
          <w:tblLayout w:type="fixed"/>
          <w:tblCellMar>
            <w:top w:w="0" w:type="dxa"/>
            <w:left w:w="0" w:type="dxa"/>
            <w:bottom w:w="0" w:type="dxa"/>
            <w:right w:w="0" w:type="dxa"/>
          </w:tblCellMar>
        </w:tblPrEx>
        <w:trPr>
          <w:trHeight w:val="480" w:hRule="atLeast"/>
        </w:trPr>
        <w:tc>
          <w:tcPr>
            <w:tcW w:w="9763" w:type="dxa"/>
            <w:gridSpan w:val="7"/>
            <w:tcBorders>
              <w:top w:val="nil"/>
              <w:left w:val="nil"/>
              <w:bottom w:val="nil"/>
              <w:right w:val="nil"/>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color w:val="000000"/>
                <w:sz w:val="36"/>
                <w:szCs w:val="36"/>
                <w:u w:val="none"/>
              </w:rPr>
            </w:pPr>
            <w:r>
              <w:rPr>
                <w:rFonts w:hint="eastAsia" w:ascii="方正小标宋简体" w:hAnsi="方正小标宋简体" w:eastAsia="方正小标宋简体" w:cs="方正小标宋简体"/>
                <w:i w:val="0"/>
                <w:color w:val="000000"/>
                <w:kern w:val="0"/>
                <w:sz w:val="36"/>
                <w:szCs w:val="36"/>
                <w:u w:val="none"/>
                <w:lang w:val="en-US" w:eastAsia="zh-CN" w:bidi="ar"/>
              </w:rPr>
              <w:t>医疗设备配套试剂需求表</w:t>
            </w:r>
          </w:p>
        </w:tc>
      </w:tr>
      <w:tr>
        <w:tblPrEx>
          <w:tblLayout w:type="fixed"/>
          <w:tblCellMar>
            <w:top w:w="0" w:type="dxa"/>
            <w:left w:w="0" w:type="dxa"/>
            <w:bottom w:w="0" w:type="dxa"/>
            <w:right w:w="0" w:type="dxa"/>
          </w:tblCellMar>
        </w:tblPrEx>
        <w:trPr>
          <w:trHeight w:val="780" w:hRule="atLeast"/>
        </w:trPr>
        <w:tc>
          <w:tcPr>
            <w:tcW w:w="752" w:type="dxa"/>
            <w:gridSpan w:val="2"/>
            <w:tcBorders>
              <w:top w:val="single" w:color="000000" w:sz="4" w:space="0"/>
              <w:left w:val="single" w:color="000000" w:sz="8"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设备名称</w:t>
            </w:r>
          </w:p>
        </w:tc>
        <w:tc>
          <w:tcPr>
            <w:tcW w:w="3167"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特定蛋白分析仪</w:t>
            </w:r>
          </w:p>
        </w:tc>
        <w:tc>
          <w:tcPr>
            <w:tcW w:w="368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设备项目编号：2022-JQ06-W3734</w:t>
            </w:r>
          </w:p>
        </w:tc>
        <w:tc>
          <w:tcPr>
            <w:tcW w:w="2160" w:type="dxa"/>
            <w:tcBorders>
              <w:top w:val="single" w:color="000000" w:sz="4" w:space="0"/>
              <w:left w:val="single" w:color="000000" w:sz="4" w:space="0"/>
              <w:bottom w:val="single" w:color="000000" w:sz="4" w:space="0"/>
              <w:right w:val="single" w:color="000000" w:sz="8"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数量：1台</w:t>
            </w:r>
          </w:p>
        </w:tc>
      </w:tr>
      <w:tr>
        <w:tblPrEx>
          <w:tblLayout w:type="fixed"/>
          <w:tblCellMar>
            <w:top w:w="0" w:type="dxa"/>
            <w:left w:w="0" w:type="dxa"/>
            <w:bottom w:w="0" w:type="dxa"/>
            <w:right w:w="0" w:type="dxa"/>
          </w:tblCellMar>
        </w:tblPrEx>
        <w:trPr>
          <w:trHeight w:val="576" w:hRule="atLeast"/>
        </w:trPr>
        <w:tc>
          <w:tcPr>
            <w:tcW w:w="752" w:type="dxa"/>
            <w:gridSpan w:val="2"/>
            <w:tcBorders>
              <w:top w:val="single" w:color="000000" w:sz="4" w:space="0"/>
              <w:left w:val="single" w:color="000000" w:sz="8"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序号</w:t>
            </w:r>
          </w:p>
        </w:tc>
        <w:tc>
          <w:tcPr>
            <w:tcW w:w="206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检测（治疗）项目</w:t>
            </w:r>
          </w:p>
        </w:tc>
        <w:tc>
          <w:tcPr>
            <w:tcW w:w="110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简称</w:t>
            </w:r>
          </w:p>
        </w:tc>
        <w:tc>
          <w:tcPr>
            <w:tcW w:w="368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预估3年使用量</w:t>
            </w:r>
            <w:r>
              <w:rPr>
                <w:rFonts w:hint="eastAsia" w:ascii="宋体" w:hAnsi="宋体" w:eastAsia="宋体" w:cs="宋体"/>
                <w:b/>
                <w:i w:val="0"/>
                <w:color w:val="000000"/>
                <w:kern w:val="0"/>
                <w:sz w:val="22"/>
                <w:szCs w:val="22"/>
                <w:u w:val="none"/>
                <w:lang w:val="en-US" w:eastAsia="zh-CN" w:bidi="ar"/>
              </w:rPr>
              <w:br w:type="textWrapping"/>
            </w:r>
            <w:r>
              <w:rPr>
                <w:rFonts w:hint="eastAsia" w:ascii="宋体" w:hAnsi="宋体" w:eastAsia="宋体" w:cs="宋体"/>
                <w:b/>
                <w:i w:val="0"/>
                <w:color w:val="000000"/>
                <w:kern w:val="0"/>
                <w:sz w:val="22"/>
                <w:szCs w:val="22"/>
                <w:u w:val="none"/>
                <w:lang w:val="en-US" w:eastAsia="zh-CN" w:bidi="ar"/>
              </w:rPr>
              <w:t>（人份/台）</w:t>
            </w:r>
          </w:p>
        </w:tc>
        <w:tc>
          <w:tcPr>
            <w:tcW w:w="2160" w:type="dxa"/>
            <w:tcBorders>
              <w:top w:val="single" w:color="000000" w:sz="4" w:space="0"/>
              <w:left w:val="single" w:color="000000" w:sz="4" w:space="0"/>
              <w:bottom w:val="single" w:color="000000" w:sz="4"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备注</w:t>
            </w:r>
          </w:p>
        </w:tc>
      </w:tr>
      <w:tr>
        <w:tblPrEx>
          <w:tblLayout w:type="fixed"/>
          <w:tblCellMar>
            <w:top w:w="0" w:type="dxa"/>
            <w:left w:w="0" w:type="dxa"/>
            <w:bottom w:w="0" w:type="dxa"/>
            <w:right w:w="0" w:type="dxa"/>
          </w:tblCellMar>
        </w:tblPrEx>
        <w:trPr>
          <w:trHeight w:val="435" w:hRule="atLeast"/>
        </w:trPr>
        <w:tc>
          <w:tcPr>
            <w:tcW w:w="2813" w:type="dxa"/>
            <w:gridSpan w:val="4"/>
            <w:tcBorders>
              <w:top w:val="single" w:color="000000" w:sz="4" w:space="0"/>
              <w:left w:val="single" w:color="000000" w:sz="8"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一、医疗设备开展的检测治疗项目</w:t>
            </w:r>
          </w:p>
        </w:tc>
        <w:tc>
          <w:tcPr>
            <w:tcW w:w="1106"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center"/>
              <w:rPr>
                <w:rFonts w:hint="eastAsia" w:ascii="宋体" w:hAnsi="宋体" w:eastAsia="宋体" w:cs="宋体"/>
                <w:b/>
                <w:i w:val="0"/>
                <w:color w:val="000000"/>
                <w:sz w:val="20"/>
                <w:szCs w:val="20"/>
                <w:u w:val="none"/>
              </w:rPr>
            </w:pPr>
          </w:p>
        </w:tc>
        <w:tc>
          <w:tcPr>
            <w:tcW w:w="3684"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center"/>
              <w:rPr>
                <w:rFonts w:hint="eastAsia" w:ascii="宋体" w:hAnsi="宋体" w:eastAsia="宋体" w:cs="宋体"/>
                <w:b/>
                <w:i w:val="0"/>
                <w:color w:val="000000"/>
                <w:sz w:val="20"/>
                <w:szCs w:val="20"/>
                <w:u w:val="none"/>
              </w:rPr>
            </w:pPr>
          </w:p>
        </w:tc>
        <w:tc>
          <w:tcPr>
            <w:tcW w:w="2160" w:type="dxa"/>
            <w:tcBorders>
              <w:top w:val="single" w:color="000000" w:sz="4" w:space="0"/>
              <w:left w:val="single" w:color="000000" w:sz="4" w:space="0"/>
              <w:bottom w:val="single" w:color="000000" w:sz="4" w:space="0"/>
              <w:right w:val="single" w:color="000000" w:sz="8" w:space="0"/>
            </w:tcBorders>
            <w:shd w:val="clear" w:color="auto" w:fill="auto"/>
            <w:noWrap/>
            <w:tcMar>
              <w:top w:w="12" w:type="dxa"/>
              <w:left w:w="12" w:type="dxa"/>
              <w:right w:w="12" w:type="dxa"/>
            </w:tcMar>
            <w:vAlign w:val="center"/>
          </w:tcPr>
          <w:p>
            <w:pPr>
              <w:rPr>
                <w:rFonts w:hint="eastAsia" w:ascii="宋体" w:hAnsi="宋体" w:eastAsia="宋体" w:cs="宋体"/>
                <w:b/>
                <w:i w:val="0"/>
                <w:color w:val="000000"/>
                <w:sz w:val="20"/>
                <w:szCs w:val="20"/>
                <w:u w:val="none"/>
              </w:rPr>
            </w:pPr>
          </w:p>
        </w:tc>
      </w:tr>
      <w:tr>
        <w:tblPrEx>
          <w:tblLayout w:type="fixed"/>
          <w:tblCellMar>
            <w:top w:w="0" w:type="dxa"/>
            <w:left w:w="0" w:type="dxa"/>
            <w:bottom w:w="0" w:type="dxa"/>
            <w:right w:w="0" w:type="dxa"/>
          </w:tblCellMar>
        </w:tblPrEx>
        <w:trPr>
          <w:trHeight w:val="270" w:hRule="atLeast"/>
        </w:trPr>
        <w:tc>
          <w:tcPr>
            <w:tcW w:w="752" w:type="dxa"/>
            <w:gridSpan w:val="2"/>
            <w:tcBorders>
              <w:top w:val="single" w:color="000000" w:sz="4" w:space="0"/>
              <w:left w:val="single" w:color="000000" w:sz="8"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206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KAP轻链检测</w:t>
            </w:r>
          </w:p>
        </w:tc>
        <w:tc>
          <w:tcPr>
            <w:tcW w:w="1106"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KAP</w:t>
            </w:r>
          </w:p>
        </w:tc>
        <w:tc>
          <w:tcPr>
            <w:tcW w:w="368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3200</w:t>
            </w:r>
          </w:p>
        </w:tc>
        <w:tc>
          <w:tcPr>
            <w:tcW w:w="2160" w:type="dxa"/>
            <w:tcBorders>
              <w:top w:val="single" w:color="000000" w:sz="4" w:space="0"/>
              <w:left w:val="single" w:color="000000" w:sz="4" w:space="0"/>
              <w:bottom w:val="single" w:color="000000" w:sz="4"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lang w:eastAsia="zh-CN"/>
              </w:rPr>
            </w:pPr>
            <w:r>
              <w:rPr>
                <w:rFonts w:hint="eastAsia" w:ascii="宋体" w:hAnsi="宋体" w:eastAsia="宋体" w:cs="宋体"/>
                <w:i w:val="0"/>
                <w:color w:val="000000"/>
                <w:sz w:val="20"/>
                <w:szCs w:val="20"/>
                <w:u w:val="none"/>
                <w:lang w:eastAsia="zh-CN"/>
              </w:rPr>
              <w:t>必须具备</w:t>
            </w:r>
          </w:p>
        </w:tc>
      </w:tr>
      <w:tr>
        <w:tblPrEx>
          <w:tblLayout w:type="fixed"/>
          <w:tblCellMar>
            <w:top w:w="0" w:type="dxa"/>
            <w:left w:w="0" w:type="dxa"/>
            <w:bottom w:w="0" w:type="dxa"/>
            <w:right w:w="0" w:type="dxa"/>
          </w:tblCellMar>
        </w:tblPrEx>
        <w:trPr>
          <w:trHeight w:val="270" w:hRule="atLeast"/>
        </w:trPr>
        <w:tc>
          <w:tcPr>
            <w:tcW w:w="752" w:type="dxa"/>
            <w:gridSpan w:val="2"/>
            <w:tcBorders>
              <w:top w:val="single" w:color="000000" w:sz="4" w:space="0"/>
              <w:left w:val="single" w:color="000000" w:sz="8"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206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LAM轻链检测</w:t>
            </w:r>
          </w:p>
        </w:tc>
        <w:tc>
          <w:tcPr>
            <w:tcW w:w="1106"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LAM</w:t>
            </w:r>
          </w:p>
        </w:tc>
        <w:tc>
          <w:tcPr>
            <w:tcW w:w="368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3200</w:t>
            </w:r>
          </w:p>
        </w:tc>
        <w:tc>
          <w:tcPr>
            <w:tcW w:w="2160" w:type="dxa"/>
            <w:tcBorders>
              <w:top w:val="single" w:color="000000" w:sz="4" w:space="0"/>
              <w:left w:val="single" w:color="000000" w:sz="4" w:space="0"/>
              <w:bottom w:val="single" w:color="000000" w:sz="4" w:space="0"/>
              <w:right w:val="single" w:color="000000" w:sz="8" w:space="0"/>
            </w:tcBorders>
            <w:shd w:val="clear" w:color="auto" w:fill="auto"/>
            <w:tcMar>
              <w:top w:w="12" w:type="dxa"/>
              <w:left w:w="12" w:type="dxa"/>
              <w:right w:w="12" w:type="dxa"/>
            </w:tcMar>
            <w:vAlign w:val="center"/>
          </w:tcPr>
          <w:p>
            <w:pPr>
              <w:jc w:val="center"/>
              <w:rPr>
                <w:rFonts w:hint="eastAsia" w:ascii="宋体" w:hAnsi="宋体" w:eastAsia="宋体" w:cs="宋体"/>
                <w:i w:val="0"/>
                <w:color w:val="000000"/>
                <w:sz w:val="20"/>
                <w:szCs w:val="20"/>
                <w:u w:val="none"/>
              </w:rPr>
            </w:pPr>
            <w:r>
              <w:rPr>
                <w:rFonts w:hint="eastAsia" w:ascii="宋体" w:hAnsi="宋体" w:eastAsia="宋体" w:cs="宋体"/>
                <w:i w:val="0"/>
                <w:color w:val="000000"/>
                <w:sz w:val="20"/>
                <w:szCs w:val="20"/>
                <w:u w:val="none"/>
                <w:lang w:eastAsia="zh-CN"/>
              </w:rPr>
              <w:t>必须具备</w:t>
            </w:r>
          </w:p>
        </w:tc>
      </w:tr>
      <w:tr>
        <w:tblPrEx>
          <w:tblLayout w:type="fixed"/>
          <w:tblCellMar>
            <w:top w:w="0" w:type="dxa"/>
            <w:left w:w="0" w:type="dxa"/>
            <w:bottom w:w="0" w:type="dxa"/>
            <w:right w:w="0" w:type="dxa"/>
          </w:tblCellMar>
        </w:tblPrEx>
        <w:trPr>
          <w:trHeight w:val="270" w:hRule="atLeast"/>
        </w:trPr>
        <w:tc>
          <w:tcPr>
            <w:tcW w:w="752" w:type="dxa"/>
            <w:gridSpan w:val="2"/>
            <w:tcBorders>
              <w:top w:val="single" w:color="000000" w:sz="4" w:space="0"/>
              <w:left w:val="single" w:color="000000" w:sz="8" w:space="0"/>
              <w:bottom w:val="single" w:color="000000" w:sz="4" w:space="0"/>
              <w:right w:val="single" w:color="000000" w:sz="4" w:space="0"/>
            </w:tcBorders>
            <w:shd w:val="clear" w:color="auto" w:fill="auto"/>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2061"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rPr>
                <w:rFonts w:hint="eastAsia" w:ascii="宋体" w:hAnsi="宋体" w:eastAsia="宋体" w:cs="宋体"/>
                <w:i w:val="0"/>
                <w:color w:val="000000"/>
                <w:sz w:val="20"/>
                <w:szCs w:val="20"/>
                <w:u w:val="none"/>
              </w:rPr>
            </w:pPr>
          </w:p>
        </w:tc>
        <w:tc>
          <w:tcPr>
            <w:tcW w:w="1106"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3684"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2160" w:type="dxa"/>
            <w:tcBorders>
              <w:top w:val="single" w:color="000000" w:sz="4" w:space="0"/>
              <w:left w:val="single" w:color="000000" w:sz="4" w:space="0"/>
              <w:bottom w:val="single" w:color="000000" w:sz="4" w:space="0"/>
              <w:right w:val="single" w:color="000000" w:sz="8" w:space="0"/>
            </w:tcBorders>
            <w:shd w:val="clear" w:color="auto" w:fill="auto"/>
            <w:noWrap/>
            <w:tcMar>
              <w:top w:w="12" w:type="dxa"/>
              <w:left w:w="12" w:type="dxa"/>
              <w:right w:w="12" w:type="dxa"/>
            </w:tcMar>
            <w:vAlign w:val="center"/>
          </w:tcPr>
          <w:p>
            <w:pP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1470" w:hRule="atLeast"/>
        </w:trPr>
        <w:tc>
          <w:tcPr>
            <w:tcW w:w="9763" w:type="dxa"/>
            <w:gridSpan w:val="7"/>
            <w:tcBorders>
              <w:top w:val="single" w:color="000000" w:sz="4" w:space="0"/>
              <w:left w:val="single" w:color="000000" w:sz="8" w:space="0"/>
              <w:bottom w:val="single" w:color="000000" w:sz="8"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说明：</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使用科室根据近年业务开展情况和学科规划，填报拟采购设备开展检测项目的3年使用量。</w:t>
            </w:r>
          </w:p>
        </w:tc>
      </w:tr>
      <w:tr>
        <w:tblPrEx>
          <w:tblLayout w:type="fixed"/>
          <w:tblCellMar>
            <w:top w:w="0" w:type="dxa"/>
            <w:left w:w="0" w:type="dxa"/>
            <w:bottom w:w="0" w:type="dxa"/>
            <w:right w:w="0" w:type="dxa"/>
          </w:tblCellMar>
        </w:tblPrEx>
        <w:trPr>
          <w:trHeight w:val="480" w:hRule="atLeast"/>
        </w:trPr>
        <w:tc>
          <w:tcPr>
            <w:tcW w:w="9763" w:type="dxa"/>
            <w:gridSpan w:val="7"/>
            <w:tcBorders>
              <w:top w:val="nil"/>
              <w:left w:val="nil"/>
              <w:bottom w:val="nil"/>
              <w:right w:val="nil"/>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color w:val="000000"/>
                <w:sz w:val="36"/>
                <w:szCs w:val="36"/>
                <w:u w:val="none"/>
              </w:rPr>
            </w:pPr>
            <w:r>
              <w:rPr>
                <w:rFonts w:hint="eastAsia" w:ascii="方正小标宋简体" w:hAnsi="方正小标宋简体" w:eastAsia="方正小标宋简体" w:cs="方正小标宋简体"/>
                <w:i w:val="0"/>
                <w:color w:val="000000"/>
                <w:kern w:val="0"/>
                <w:sz w:val="36"/>
                <w:szCs w:val="36"/>
                <w:u w:val="none"/>
                <w:lang w:val="en-US" w:eastAsia="zh-CN" w:bidi="ar"/>
              </w:rPr>
              <w:t>医疗设备配套封闭耗材（非试剂类）需求表</w:t>
            </w:r>
          </w:p>
        </w:tc>
      </w:tr>
      <w:tr>
        <w:tblPrEx>
          <w:tblLayout w:type="fixed"/>
          <w:tblCellMar>
            <w:top w:w="0" w:type="dxa"/>
            <w:left w:w="0" w:type="dxa"/>
            <w:bottom w:w="0" w:type="dxa"/>
            <w:right w:w="0" w:type="dxa"/>
          </w:tblCellMar>
        </w:tblPrEx>
        <w:trPr>
          <w:trHeight w:val="780" w:hRule="atLeast"/>
        </w:trPr>
        <w:tc>
          <w:tcPr>
            <w:tcW w:w="750" w:type="dxa"/>
            <w:tcBorders>
              <w:top w:val="single" w:color="000000" w:sz="4" w:space="0"/>
              <w:left w:val="single" w:color="000000" w:sz="8"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设备名称</w:t>
            </w:r>
          </w:p>
        </w:tc>
        <w:tc>
          <w:tcPr>
            <w:tcW w:w="3169"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特定蛋白分析仪</w:t>
            </w:r>
          </w:p>
        </w:tc>
        <w:tc>
          <w:tcPr>
            <w:tcW w:w="368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设备项目编号：2022-JQ06-W3734</w:t>
            </w:r>
          </w:p>
        </w:tc>
        <w:tc>
          <w:tcPr>
            <w:tcW w:w="2160" w:type="dxa"/>
            <w:tcBorders>
              <w:top w:val="single" w:color="000000" w:sz="4" w:space="0"/>
              <w:left w:val="single" w:color="000000" w:sz="4" w:space="0"/>
              <w:bottom w:val="single" w:color="000000" w:sz="4" w:space="0"/>
              <w:right w:val="single" w:color="000000" w:sz="8"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数量：1台</w:t>
            </w:r>
          </w:p>
        </w:tc>
      </w:tr>
      <w:tr>
        <w:tblPrEx>
          <w:tblLayout w:type="fixed"/>
          <w:tblCellMar>
            <w:top w:w="0" w:type="dxa"/>
            <w:left w:w="0" w:type="dxa"/>
            <w:bottom w:w="0" w:type="dxa"/>
            <w:right w:w="0" w:type="dxa"/>
          </w:tblCellMar>
        </w:tblPrEx>
        <w:trPr>
          <w:trHeight w:val="540" w:hRule="atLeast"/>
        </w:trPr>
        <w:tc>
          <w:tcPr>
            <w:tcW w:w="750" w:type="dxa"/>
            <w:tcBorders>
              <w:top w:val="single" w:color="000000" w:sz="4" w:space="0"/>
              <w:left w:val="single" w:color="000000" w:sz="8"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序号</w:t>
            </w:r>
          </w:p>
        </w:tc>
        <w:tc>
          <w:tcPr>
            <w:tcW w:w="205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一次性耗材名称</w:t>
            </w:r>
          </w:p>
        </w:tc>
        <w:tc>
          <w:tcPr>
            <w:tcW w:w="1112"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简称</w:t>
            </w:r>
          </w:p>
        </w:tc>
        <w:tc>
          <w:tcPr>
            <w:tcW w:w="368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预估3年使用量</w:t>
            </w:r>
          </w:p>
        </w:tc>
        <w:tc>
          <w:tcPr>
            <w:tcW w:w="2160" w:type="dxa"/>
            <w:tcBorders>
              <w:top w:val="single" w:color="000000" w:sz="4" w:space="0"/>
              <w:left w:val="single" w:color="000000" w:sz="4" w:space="0"/>
              <w:bottom w:val="single" w:color="000000" w:sz="4" w:space="0"/>
              <w:right w:val="single" w:color="000000" w:sz="8"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备注</w:t>
            </w:r>
          </w:p>
        </w:tc>
      </w:tr>
      <w:tr>
        <w:tblPrEx>
          <w:tblLayout w:type="fixed"/>
          <w:tblCellMar>
            <w:top w:w="0" w:type="dxa"/>
            <w:left w:w="0" w:type="dxa"/>
            <w:bottom w:w="0" w:type="dxa"/>
            <w:right w:w="0" w:type="dxa"/>
          </w:tblCellMar>
        </w:tblPrEx>
        <w:trPr>
          <w:trHeight w:val="435" w:hRule="atLeast"/>
        </w:trPr>
        <w:tc>
          <w:tcPr>
            <w:tcW w:w="2807" w:type="dxa"/>
            <w:gridSpan w:val="3"/>
            <w:tcBorders>
              <w:top w:val="single" w:color="000000" w:sz="4" w:space="0"/>
              <w:left w:val="single" w:color="000000" w:sz="8"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bidi="ar"/>
              </w:rPr>
              <w:t>一、必须开展的检测治疗所使用的耗材</w:t>
            </w:r>
          </w:p>
        </w:tc>
        <w:tc>
          <w:tcPr>
            <w:tcW w:w="1112"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center"/>
              <w:rPr>
                <w:rFonts w:hint="eastAsia" w:ascii="宋体" w:hAnsi="宋体" w:eastAsia="宋体" w:cs="宋体"/>
                <w:b/>
                <w:i w:val="0"/>
                <w:color w:val="000000"/>
                <w:sz w:val="20"/>
                <w:szCs w:val="20"/>
                <w:u w:val="none"/>
              </w:rPr>
            </w:pPr>
          </w:p>
        </w:tc>
        <w:tc>
          <w:tcPr>
            <w:tcW w:w="3684"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center"/>
              <w:rPr>
                <w:rFonts w:hint="eastAsia" w:ascii="宋体" w:hAnsi="宋体" w:eastAsia="宋体" w:cs="宋体"/>
                <w:b/>
                <w:i w:val="0"/>
                <w:color w:val="000000"/>
                <w:sz w:val="20"/>
                <w:szCs w:val="20"/>
                <w:u w:val="none"/>
              </w:rPr>
            </w:pPr>
          </w:p>
        </w:tc>
        <w:tc>
          <w:tcPr>
            <w:tcW w:w="2160" w:type="dxa"/>
            <w:tcBorders>
              <w:top w:val="single" w:color="000000" w:sz="4" w:space="0"/>
              <w:left w:val="single" w:color="000000" w:sz="4" w:space="0"/>
              <w:bottom w:val="single" w:color="000000" w:sz="4" w:space="0"/>
              <w:right w:val="single" w:color="000000" w:sz="8" w:space="0"/>
            </w:tcBorders>
            <w:shd w:val="clear" w:color="auto" w:fill="auto"/>
            <w:noWrap/>
            <w:tcMar>
              <w:top w:w="12" w:type="dxa"/>
              <w:left w:w="12" w:type="dxa"/>
              <w:right w:w="12" w:type="dxa"/>
            </w:tcMar>
            <w:vAlign w:val="center"/>
          </w:tcPr>
          <w:p>
            <w:pPr>
              <w:rPr>
                <w:rFonts w:hint="eastAsia" w:ascii="宋体" w:hAnsi="宋体" w:eastAsia="宋体" w:cs="宋体"/>
                <w:b/>
                <w:i w:val="0"/>
                <w:color w:val="000000"/>
                <w:sz w:val="20"/>
                <w:szCs w:val="20"/>
                <w:u w:val="none"/>
              </w:rPr>
            </w:pPr>
          </w:p>
        </w:tc>
      </w:tr>
      <w:tr>
        <w:tblPrEx>
          <w:tblLayout w:type="fixed"/>
          <w:tblCellMar>
            <w:top w:w="0" w:type="dxa"/>
            <w:left w:w="0" w:type="dxa"/>
            <w:bottom w:w="0" w:type="dxa"/>
            <w:right w:w="0" w:type="dxa"/>
          </w:tblCellMar>
        </w:tblPrEx>
        <w:trPr>
          <w:trHeight w:val="288" w:hRule="atLeast"/>
        </w:trPr>
        <w:tc>
          <w:tcPr>
            <w:tcW w:w="2807" w:type="dxa"/>
            <w:gridSpan w:val="3"/>
            <w:tcBorders>
              <w:top w:val="single" w:color="000000" w:sz="4" w:space="0"/>
              <w:left w:val="single" w:color="000000" w:sz="8"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具体使用耗材种类和用量，示例如下：</w:t>
            </w:r>
          </w:p>
        </w:tc>
        <w:tc>
          <w:tcPr>
            <w:tcW w:w="1112"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3684"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2160" w:type="dxa"/>
            <w:tcBorders>
              <w:top w:val="single" w:color="000000" w:sz="4" w:space="0"/>
              <w:left w:val="single" w:color="000000" w:sz="4" w:space="0"/>
              <w:bottom w:val="single" w:color="000000" w:sz="4" w:space="0"/>
              <w:right w:val="single" w:color="000000" w:sz="8" w:space="0"/>
            </w:tcBorders>
            <w:shd w:val="clear" w:color="auto" w:fill="auto"/>
            <w:noWrap/>
            <w:tcMar>
              <w:top w:w="12" w:type="dxa"/>
              <w:left w:w="12" w:type="dxa"/>
              <w:right w:w="12" w:type="dxa"/>
            </w:tcMar>
            <w:vAlign w:val="center"/>
          </w:tcPr>
          <w:p>
            <w:pP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70" w:hRule="atLeast"/>
        </w:trPr>
        <w:tc>
          <w:tcPr>
            <w:tcW w:w="750" w:type="dxa"/>
            <w:tcBorders>
              <w:top w:val="single" w:color="000000" w:sz="4" w:space="0"/>
              <w:left w:val="single" w:color="000000" w:sz="8"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205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反应杯</w:t>
            </w:r>
          </w:p>
        </w:tc>
        <w:tc>
          <w:tcPr>
            <w:tcW w:w="1112"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3684"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250个</w:t>
            </w:r>
          </w:p>
        </w:tc>
        <w:tc>
          <w:tcPr>
            <w:tcW w:w="2160" w:type="dxa"/>
            <w:tcBorders>
              <w:top w:val="single" w:color="000000" w:sz="4" w:space="0"/>
              <w:left w:val="single" w:color="000000" w:sz="4" w:space="0"/>
              <w:bottom w:val="single" w:color="000000" w:sz="4" w:space="0"/>
              <w:right w:val="single" w:color="000000" w:sz="8" w:space="0"/>
            </w:tcBorders>
            <w:shd w:val="clear" w:color="auto" w:fill="auto"/>
            <w:noWrap/>
            <w:tcMar>
              <w:top w:w="12" w:type="dxa"/>
              <w:left w:w="12" w:type="dxa"/>
              <w:right w:w="12" w:type="dxa"/>
            </w:tcMar>
            <w:vAlign w:val="center"/>
          </w:tcPr>
          <w:p>
            <w:pP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70" w:hRule="atLeast"/>
        </w:trPr>
        <w:tc>
          <w:tcPr>
            <w:tcW w:w="750" w:type="dxa"/>
            <w:tcBorders>
              <w:top w:val="single" w:color="000000" w:sz="4" w:space="0"/>
              <w:left w:val="single" w:color="000000" w:sz="8"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w:t>
            </w:r>
          </w:p>
        </w:tc>
        <w:tc>
          <w:tcPr>
            <w:tcW w:w="205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清洗液</w:t>
            </w:r>
          </w:p>
        </w:tc>
        <w:tc>
          <w:tcPr>
            <w:tcW w:w="1112"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3684"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1500升</w:t>
            </w:r>
          </w:p>
        </w:tc>
        <w:tc>
          <w:tcPr>
            <w:tcW w:w="2160" w:type="dxa"/>
            <w:tcBorders>
              <w:top w:val="single" w:color="000000" w:sz="4" w:space="0"/>
              <w:left w:val="single" w:color="000000" w:sz="4" w:space="0"/>
              <w:bottom w:val="single" w:color="000000" w:sz="4" w:space="0"/>
              <w:right w:val="single" w:color="000000" w:sz="8" w:space="0"/>
            </w:tcBorders>
            <w:shd w:val="clear" w:color="auto" w:fill="auto"/>
            <w:noWrap/>
            <w:tcMar>
              <w:top w:w="12" w:type="dxa"/>
              <w:left w:w="12" w:type="dxa"/>
              <w:right w:w="12" w:type="dxa"/>
            </w:tcMar>
            <w:vAlign w:val="center"/>
          </w:tcPr>
          <w:p>
            <w:pP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70" w:hRule="atLeast"/>
        </w:trPr>
        <w:tc>
          <w:tcPr>
            <w:tcW w:w="750" w:type="dxa"/>
            <w:tcBorders>
              <w:top w:val="single" w:color="000000" w:sz="4" w:space="0"/>
              <w:left w:val="single" w:color="000000" w:sz="8"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w:t>
            </w:r>
          </w:p>
        </w:tc>
        <w:tc>
          <w:tcPr>
            <w:tcW w:w="205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稀释液</w:t>
            </w:r>
          </w:p>
        </w:tc>
        <w:tc>
          <w:tcPr>
            <w:tcW w:w="1112"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3684"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9升</w:t>
            </w:r>
          </w:p>
        </w:tc>
        <w:tc>
          <w:tcPr>
            <w:tcW w:w="2160" w:type="dxa"/>
            <w:tcBorders>
              <w:top w:val="single" w:color="000000" w:sz="4" w:space="0"/>
              <w:left w:val="single" w:color="000000" w:sz="4" w:space="0"/>
              <w:bottom w:val="single" w:color="000000" w:sz="4" w:space="0"/>
              <w:right w:val="single" w:color="000000" w:sz="8" w:space="0"/>
            </w:tcBorders>
            <w:shd w:val="clear" w:color="auto" w:fill="auto"/>
            <w:noWrap/>
            <w:tcMar>
              <w:top w:w="12" w:type="dxa"/>
              <w:left w:w="12" w:type="dxa"/>
              <w:right w:w="12" w:type="dxa"/>
            </w:tcMar>
            <w:vAlign w:val="center"/>
          </w:tcPr>
          <w:p>
            <w:pP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70" w:hRule="atLeast"/>
        </w:trPr>
        <w:tc>
          <w:tcPr>
            <w:tcW w:w="750" w:type="dxa"/>
            <w:tcBorders>
              <w:top w:val="single" w:color="000000" w:sz="4" w:space="0"/>
              <w:left w:val="single" w:color="000000" w:sz="8"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w:t>
            </w:r>
          </w:p>
        </w:tc>
        <w:tc>
          <w:tcPr>
            <w:tcW w:w="205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缓冲液</w:t>
            </w:r>
          </w:p>
        </w:tc>
        <w:tc>
          <w:tcPr>
            <w:tcW w:w="1112"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3684"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18升</w:t>
            </w:r>
          </w:p>
        </w:tc>
        <w:tc>
          <w:tcPr>
            <w:tcW w:w="2160" w:type="dxa"/>
            <w:tcBorders>
              <w:top w:val="single" w:color="000000" w:sz="4" w:space="0"/>
              <w:left w:val="single" w:color="000000" w:sz="4" w:space="0"/>
              <w:bottom w:val="single" w:color="000000" w:sz="4" w:space="0"/>
              <w:right w:val="single" w:color="000000" w:sz="8" w:space="0"/>
            </w:tcBorders>
            <w:shd w:val="clear" w:color="auto" w:fill="auto"/>
            <w:noWrap/>
            <w:tcMar>
              <w:top w:w="12" w:type="dxa"/>
              <w:left w:w="12" w:type="dxa"/>
              <w:right w:w="12" w:type="dxa"/>
            </w:tcMar>
            <w:vAlign w:val="center"/>
          </w:tcPr>
          <w:p>
            <w:pP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270" w:hRule="atLeast"/>
        </w:trPr>
        <w:tc>
          <w:tcPr>
            <w:tcW w:w="750" w:type="dxa"/>
            <w:tcBorders>
              <w:top w:val="single" w:color="000000" w:sz="4" w:space="0"/>
              <w:left w:val="single" w:color="000000" w:sz="8" w:space="0"/>
              <w:bottom w:val="single" w:color="000000" w:sz="4" w:space="0"/>
              <w:right w:val="single" w:color="000000" w:sz="4" w:space="0"/>
            </w:tcBorders>
            <w:shd w:val="clear" w:color="auto" w:fill="auto"/>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2057"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rPr>
                <w:rFonts w:hint="eastAsia" w:ascii="宋体" w:hAnsi="宋体" w:eastAsia="宋体" w:cs="宋体"/>
                <w:i w:val="0"/>
                <w:color w:val="000000"/>
                <w:sz w:val="20"/>
                <w:szCs w:val="20"/>
                <w:u w:val="none"/>
              </w:rPr>
            </w:pPr>
          </w:p>
        </w:tc>
        <w:tc>
          <w:tcPr>
            <w:tcW w:w="1112"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3684"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jc w:val="center"/>
              <w:rPr>
                <w:rFonts w:hint="eastAsia" w:ascii="宋体" w:hAnsi="宋体" w:eastAsia="宋体" w:cs="宋体"/>
                <w:i w:val="0"/>
                <w:color w:val="000000"/>
                <w:sz w:val="20"/>
                <w:szCs w:val="20"/>
                <w:u w:val="none"/>
              </w:rPr>
            </w:pPr>
          </w:p>
        </w:tc>
        <w:tc>
          <w:tcPr>
            <w:tcW w:w="2160" w:type="dxa"/>
            <w:tcBorders>
              <w:top w:val="single" w:color="000000" w:sz="4" w:space="0"/>
              <w:left w:val="single" w:color="000000" w:sz="4" w:space="0"/>
              <w:bottom w:val="single" w:color="000000" w:sz="4" w:space="0"/>
              <w:right w:val="single" w:color="000000" w:sz="8" w:space="0"/>
            </w:tcBorders>
            <w:shd w:val="clear" w:color="auto" w:fill="auto"/>
            <w:noWrap/>
            <w:tcMar>
              <w:top w:w="12" w:type="dxa"/>
              <w:left w:w="12" w:type="dxa"/>
              <w:right w:w="12" w:type="dxa"/>
            </w:tcMar>
            <w:vAlign w:val="center"/>
          </w:tcPr>
          <w:p>
            <w:pPr>
              <w:rPr>
                <w:rFonts w:hint="eastAsia" w:ascii="宋体" w:hAnsi="宋体" w:eastAsia="宋体" w:cs="宋体"/>
                <w:i w:val="0"/>
                <w:color w:val="000000"/>
                <w:sz w:val="20"/>
                <w:szCs w:val="20"/>
                <w:u w:val="none"/>
              </w:rPr>
            </w:pPr>
          </w:p>
        </w:tc>
      </w:tr>
      <w:tr>
        <w:tblPrEx>
          <w:tblLayout w:type="fixed"/>
          <w:tblCellMar>
            <w:top w:w="0" w:type="dxa"/>
            <w:left w:w="0" w:type="dxa"/>
            <w:bottom w:w="0" w:type="dxa"/>
            <w:right w:w="0" w:type="dxa"/>
          </w:tblCellMar>
        </w:tblPrEx>
        <w:trPr>
          <w:trHeight w:val="1470" w:hRule="atLeast"/>
        </w:trPr>
        <w:tc>
          <w:tcPr>
            <w:tcW w:w="9763" w:type="dxa"/>
            <w:gridSpan w:val="7"/>
            <w:tcBorders>
              <w:top w:val="single" w:color="000000" w:sz="4" w:space="0"/>
              <w:left w:val="single" w:color="000000" w:sz="8" w:space="0"/>
              <w:bottom w:val="single" w:color="000000" w:sz="8"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说明：</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1、“必须开展的检测治疗所使用的耗材”是指临床已经批准并依托此设备开展的的诊疗项目配套使用的一次性耗材（投标供应商必须响应）。</w:t>
            </w:r>
          </w:p>
        </w:tc>
      </w:tr>
    </w:tbl>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810DAA"/>
    <w:rsid w:val="76810D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font41"/>
    <w:basedOn w:val="6"/>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2023-11-16T07:56:00Z</dcterms:created>
  <dc:creator>Administrator</dc:creator>
  <cp:lastModifiedBy>Administrator</cp:lastModifiedBy>
  <dcterms:modified xsi:type="dcterms:W3CDTF">2023-11-16T07:58:28Z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