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8" w:type="dxa"/>
        <w:jc w:val="center"/>
        <w:tblInd w:w="-1026" w:type="dxa"/>
        <w:tblLook w:val="04A0"/>
      </w:tblPr>
      <w:tblGrid>
        <w:gridCol w:w="1124"/>
        <w:gridCol w:w="3294"/>
        <w:gridCol w:w="1394"/>
        <w:gridCol w:w="1158"/>
        <w:gridCol w:w="1544"/>
        <w:gridCol w:w="1824"/>
      </w:tblGrid>
      <w:tr w:rsidR="006B3A0E" w:rsidRPr="006B3A0E" w:rsidTr="004F2DD9">
        <w:trPr>
          <w:trHeight w:val="762"/>
          <w:jc w:val="center"/>
        </w:trPr>
        <w:tc>
          <w:tcPr>
            <w:tcW w:w="10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3850" w:rsidRDefault="006B3A0E" w:rsidP="006B3A0E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6B3A0E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  <w:p w:rsidR="006B3A0E" w:rsidRPr="006B3A0E" w:rsidRDefault="003D3850" w:rsidP="006B3A0E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及经济要求</w:t>
            </w:r>
          </w:p>
        </w:tc>
      </w:tr>
      <w:tr w:rsidR="006B3A0E" w:rsidRPr="006B3A0E" w:rsidTr="004F2DD9">
        <w:trPr>
          <w:trHeight w:val="372"/>
          <w:jc w:val="center"/>
        </w:trPr>
        <w:tc>
          <w:tcPr>
            <w:tcW w:w="103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3A0E" w:rsidRPr="006B3A0E" w:rsidRDefault="006B3A0E" w:rsidP="006B3A0E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B3A0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制表时间：2023年5月22日</w:t>
            </w:r>
          </w:p>
        </w:tc>
      </w:tr>
      <w:tr w:rsidR="006B3A0E" w:rsidRPr="006B3A0E" w:rsidTr="0000475D">
        <w:trPr>
          <w:trHeight w:val="49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设备名称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有创呼吸机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75D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总数量</w:t>
            </w:r>
          </w:p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（台/套）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75D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预算总金额</w:t>
            </w:r>
          </w:p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（万元）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240</w:t>
            </w:r>
          </w:p>
        </w:tc>
      </w:tr>
    </w:tbl>
    <w:p w:rsidR="0000475D" w:rsidRDefault="0000475D" w:rsidP="0000475D">
      <w:pPr>
        <w:spacing w:line="20" w:lineRule="exact"/>
      </w:pPr>
    </w:p>
    <w:tbl>
      <w:tblPr>
        <w:tblW w:w="10338" w:type="dxa"/>
        <w:jc w:val="center"/>
        <w:tblInd w:w="-1026" w:type="dxa"/>
        <w:tblLook w:val="04A0"/>
      </w:tblPr>
      <w:tblGrid>
        <w:gridCol w:w="1124"/>
        <w:gridCol w:w="1995"/>
        <w:gridCol w:w="5395"/>
        <w:gridCol w:w="1824"/>
      </w:tblGrid>
      <w:tr w:rsidR="00314798" w:rsidRPr="006B3A0E" w:rsidTr="0000475D">
        <w:trPr>
          <w:trHeight w:val="23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技术和性能参数名称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招标参数和性能要求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314798" w:rsidRPr="006B3A0E" w:rsidTr="004F2DD9">
        <w:trPr>
          <w:trHeight w:val="261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能够为各种危重症患者提供个性化的通气治疗策略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6B3A0E" w:rsidRPr="006B3A0E" w:rsidTr="004F2DD9">
        <w:trPr>
          <w:trHeight w:val="34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资质认证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具有CFDA认证、FDA认证或CE认证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4F2DD9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</w:t>
            </w:r>
            <w:r w:rsidR="006B3A0E" w:rsidRPr="006B3A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提供证书复印件</w:t>
            </w:r>
          </w:p>
        </w:tc>
      </w:tr>
      <w:tr w:rsidR="00314798" w:rsidRPr="006B3A0E" w:rsidTr="004F2DD9">
        <w:trPr>
          <w:trHeight w:val="156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技术和性能参数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6B3A0E" w:rsidRPr="006B3A0E" w:rsidTr="004F2DD9">
        <w:trPr>
          <w:trHeight w:val="90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通气模式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至少包含容量控制通气模式，压力控制通气模式，同步间歇指令通气模式，持续气道正压模式，双水平气道正压通气模式，无创通气模式，气道压力释放通气模式，分钟指令通气模式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4F2DD9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276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潮气量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(20－2000)ml，最大误差≤15%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 w:rsidR="0000475D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呼吸频率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（1-100）次/分，最大误差≤10%或≤±1次/分（取绝对值大者）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163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氧浓度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（21-100)%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281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最大吸气流速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≥180L/min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229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高流量氧疗功能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(2-50)L/min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升级及传输功能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软硬件升级及数据传输能力，病人趋势数据可以通过接口直接输出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1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3.8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补偿功能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自动泄漏补偿功能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92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评定功能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脱机评定功能 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自检功能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开机自检、全面自检，压力传感器、流量传感器可自动标定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监测功能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23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·3.11.1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肺力学监测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实时动态监测气道阻力和肺顺应性，并升级肺视图功能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·3.11.2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实时波形监测功能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压力－时间波形和流速－时间波形容量时间波形，趋势图,CO2监测，过度膨胀系数，低流速P-V曲线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27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3.11.3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呼吸环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可显示压力-容量环或流量-容量环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补偿功能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自动插管补偿功能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9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3.13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评定功能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997E62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997E62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自动调节压力支持水平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*3.14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雾化功能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具备雾化功能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16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*3.15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流量传感器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超声流量传感器或热丝流量传感器，非压差式传感器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6B3A0E" w:rsidRPr="006B3A0E" w:rsidTr="004F2DD9">
        <w:trPr>
          <w:trHeight w:val="26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3.16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显示屏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≥15英寸彩色显示器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201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·3.17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监测功能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具备CO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  <w:vertAlign w:val="subscript"/>
              </w:rPr>
              <w:t>2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监测功能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*3.18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电池工作时间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≥30分钟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D3850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A6A6A6" w:themeColor="background1" w:themeShade="A6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314798" w:rsidRPr="006B3A0E" w:rsidTr="004F2DD9">
        <w:trPr>
          <w:trHeight w:val="1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*3.19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吸气伺服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吸气伺服机构不接受涡轮机（非涡轮机）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3350EA" w:rsidRPr="006B3A0E" w:rsidTr="004F2DD9">
        <w:trPr>
          <w:trHeight w:val="73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*3.20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长效氧电池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顺磁氧传感器或超声氧传感器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3350EA" w:rsidRPr="006B3A0E" w:rsidTr="004F2DD9">
        <w:trPr>
          <w:trHeight w:val="603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3.21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报警及安全指标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至少包含气道压力高、低报警，呼出潮气量过高过低报警，呼吸频率过高报警，分钟通气量高、低报警，窒息报警,管道脱落报警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3350EA" w:rsidRPr="006B3A0E" w:rsidTr="004F2DD9">
        <w:trPr>
          <w:trHeight w:val="233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·3.22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厂家自报设备近三年不良事件情况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9B11CC" w:rsidRPr="006B3A0E" w:rsidTr="004F2DD9">
        <w:trPr>
          <w:trHeight w:val="3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·3.23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流量触发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（0.2-15）L/min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CC" w:rsidRPr="004F2DD9" w:rsidRDefault="0000475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可量化</w:t>
            </w:r>
            <w:r>
              <w:rPr>
                <w:rFonts w:asciiTheme="minorEastAsia" w:hAnsiTheme="minorEastAsia" w:cs="宋体" w:hint="eastAsia"/>
                <w:color w:val="A6A6A6" w:themeColor="background1" w:themeShade="A6"/>
                <w:kern w:val="0"/>
                <w:sz w:val="22"/>
              </w:rPr>
              <w:t>指标</w:t>
            </w:r>
          </w:p>
        </w:tc>
      </w:tr>
      <w:tr w:rsidR="009B11CC" w:rsidRPr="006B3A0E" w:rsidTr="004F2DD9">
        <w:trPr>
          <w:trHeight w:val="28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·3.24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自动脱机功能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CC" w:rsidRPr="004F2DD9" w:rsidRDefault="009B11CC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机器根据CO</w:t>
            </w:r>
            <w:r w:rsidRPr="004F2DD9">
              <w:rPr>
                <w:rFonts w:asciiTheme="minorEastAsia" w:hAnsiTheme="minorEastAsia" w:cs="宋体" w:hint="eastAsia"/>
                <w:color w:val="000000"/>
                <w:kern w:val="0"/>
                <w:sz w:val="22"/>
                <w:vertAlign w:val="subscript"/>
              </w:rPr>
              <w:t>2</w:t>
            </w:r>
            <w:r w:rsidRPr="004F2DD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监测自动调节夜里支持水平，帮助患者脱机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CC" w:rsidRPr="004F2DD9" w:rsidRDefault="009B11CC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</w:tr>
      <w:tr w:rsidR="006B3A0E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配置要求（单台套）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主机≥1台，呼吸管路≥2套，湿化器≥1套，专用台车≥1台，支架≥1个，模拟肺≥1套 CO</w:t>
            </w: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  <w:vertAlign w:val="subscript"/>
              </w:rPr>
              <w:t>2</w:t>
            </w: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监测≥1套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</w:tr>
      <w:tr w:rsidR="006B3A0E" w:rsidRPr="006B3A0E" w:rsidTr="004F2DD9">
        <w:trPr>
          <w:trHeight w:val="82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4F2DD9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*5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售后条款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314798" w:rsidRPr="006B3A0E" w:rsidTr="004F2DD9">
        <w:trPr>
          <w:trHeight w:val="62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*5.1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A34016" w:rsidP="0000475D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A3401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需提供书面承诺并加盖原厂或投标人公章（投标人盖章的需同时提供原厂的服务授权文件）；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*5.2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预防性维修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br/>
              <w:t>/定期维护保养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保修期内按维修手册要求提供定期维护保养服务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需提供书面承诺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5.3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维修响应时间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812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5.4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配件报价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31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*5.5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需提供书面承诺</w:t>
            </w:r>
          </w:p>
        </w:tc>
      </w:tr>
      <w:tr w:rsidR="00314798" w:rsidRPr="006B3A0E" w:rsidTr="004F2DD9">
        <w:trPr>
          <w:trHeight w:val="39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·</w:t>
            </w:r>
            <w:r w:rsidR="006B3A0E" w:rsidRPr="006B3A0E">
              <w:rPr>
                <w:rFonts w:asciiTheme="minorEastAsia" w:hAnsiTheme="minorEastAsia" w:cs="宋体" w:hint="eastAsia"/>
                <w:kern w:val="0"/>
                <w:sz w:val="22"/>
              </w:rPr>
              <w:t>5.6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·</w:t>
            </w:r>
            <w:r w:rsidR="006B3A0E" w:rsidRPr="006B3A0E">
              <w:rPr>
                <w:rFonts w:asciiTheme="minorEastAsia" w:hAnsiTheme="minorEastAsia" w:cs="宋体" w:hint="eastAsia"/>
                <w:kern w:val="0"/>
                <w:sz w:val="22"/>
              </w:rPr>
              <w:t>5.7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维修工时费计算方法及价格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至少提供按小时计费和按故障点计费两种方式，用户可自行选择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61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·</w:t>
            </w:r>
            <w:r w:rsidR="006B3A0E" w:rsidRPr="006B3A0E">
              <w:rPr>
                <w:rFonts w:asciiTheme="minorEastAsia" w:hAnsiTheme="minorEastAsia" w:cs="宋体" w:hint="eastAsia"/>
                <w:kern w:val="0"/>
                <w:sz w:val="22"/>
              </w:rPr>
              <w:t>5.8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专用工具、资料及其它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提供设备配套的维修专用工具</w:t>
            </w:r>
            <w:r w:rsidRPr="006B3A0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（如有）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，资料（操作手册、维修手册等）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75D" w:rsidRDefault="004F2DD9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需提供书面承诺</w:t>
            </w:r>
          </w:p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00130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001306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4F2DD9">
              <w:rPr>
                <w:rFonts w:asciiTheme="minorEastAsia" w:hAnsiTheme="minorEastAsia" w:cs="宋体" w:hint="eastAsia"/>
                <w:kern w:val="0"/>
                <w:sz w:val="22"/>
              </w:rPr>
              <w:t>·</w:t>
            </w:r>
            <w:r w:rsidR="006B3A0E" w:rsidRPr="006B3A0E">
              <w:rPr>
                <w:rFonts w:asciiTheme="minorEastAsia" w:hAnsiTheme="minorEastAsia" w:cs="宋体" w:hint="eastAsia"/>
                <w:kern w:val="0"/>
                <w:sz w:val="22"/>
              </w:rPr>
              <w:t>5.9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75D" w:rsidRDefault="004F2DD9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需提供书面承诺</w:t>
            </w:r>
          </w:p>
          <w:p w:rsidR="006B3A0E" w:rsidRPr="006B3A0E" w:rsidRDefault="00001306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001306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314798" w:rsidRPr="006B3A0E" w:rsidTr="004F2DD9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5.10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A0E" w:rsidRPr="006B3A0E" w:rsidRDefault="006B3A0E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314798" w:rsidRDefault="005576F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见商务要求</w:t>
            </w:r>
          </w:p>
          <w:p w:rsidR="005576FD" w:rsidRPr="006B3A0E" w:rsidRDefault="005576F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EC5BFD" w:rsidRPr="006B3A0E" w:rsidTr="00323BE5">
        <w:trPr>
          <w:trHeight w:val="70"/>
          <w:jc w:val="center"/>
        </w:trPr>
        <w:tc>
          <w:tcPr>
            <w:tcW w:w="1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FD" w:rsidRPr="006B3A0E" w:rsidRDefault="00EC5BFD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经济要求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BFD" w:rsidRPr="006B3A0E" w:rsidRDefault="00EC5BFD" w:rsidP="003D38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交货地点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BFD" w:rsidRPr="006B3A0E" w:rsidRDefault="00EC5BFD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kern w:val="0"/>
                <w:sz w:val="22"/>
              </w:rPr>
              <w:t>甲方拟定交付地点</w:t>
            </w:r>
          </w:p>
        </w:tc>
        <w:tc>
          <w:tcPr>
            <w:tcW w:w="18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FD" w:rsidRPr="00314798" w:rsidRDefault="00EC5BF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见商务要求</w:t>
            </w:r>
          </w:p>
          <w:p w:rsidR="00EC5BFD" w:rsidRPr="00314798" w:rsidRDefault="00EC5BFD" w:rsidP="0000475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314798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不接受负偏离</w:t>
            </w:r>
          </w:p>
        </w:tc>
      </w:tr>
      <w:tr w:rsidR="00EC5BFD" w:rsidRPr="006B3A0E" w:rsidTr="00323BE5">
        <w:trPr>
          <w:trHeight w:val="70"/>
          <w:jc w:val="center"/>
        </w:trPr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FD" w:rsidRPr="006B3A0E" w:rsidRDefault="00EC5BFD" w:rsidP="0031479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BFD" w:rsidRPr="006B3A0E" w:rsidRDefault="00EC5BFD" w:rsidP="0031479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付款条件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BFD" w:rsidRPr="006B3A0E" w:rsidRDefault="00EC5BFD" w:rsidP="003D38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3D3850">
              <w:rPr>
                <w:rFonts w:asciiTheme="minorEastAsia" w:hAnsiTheme="minorEastAsia" w:cs="宋体" w:hint="eastAsia"/>
                <w:kern w:val="0"/>
                <w:sz w:val="22"/>
              </w:rPr>
              <w:t>签订合同付（预付）0%，物资到货（服务完成）验收后付95%，质量保证金（尾款）5%</w:t>
            </w:r>
          </w:p>
        </w:tc>
        <w:tc>
          <w:tcPr>
            <w:tcW w:w="18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FD" w:rsidRPr="00314798" w:rsidRDefault="00EC5BFD" w:rsidP="0000475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</w:p>
        </w:tc>
      </w:tr>
      <w:tr w:rsidR="006B3A0E" w:rsidRPr="006B3A0E" w:rsidTr="004F2DD9">
        <w:trPr>
          <w:trHeight w:val="850"/>
          <w:jc w:val="center"/>
        </w:trPr>
        <w:tc>
          <w:tcPr>
            <w:tcW w:w="10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A0E" w:rsidRPr="006B3A0E" w:rsidRDefault="006B3A0E" w:rsidP="006B3A0E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 w:rsidRPr="006B3A0E">
              <w:rPr>
                <w:rFonts w:asciiTheme="minorEastAsia" w:hAnsiTheme="minorEastAsia" w:cs="Times New Roman"/>
                <w:kern w:val="0"/>
                <w:sz w:val="22"/>
              </w:rPr>
              <w:t>1</w:t>
            </w: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>.加注“*”号的技术指标为关键指标，≥1项未达到招标文件要求，即做废标处理。</w:t>
            </w:r>
          </w:p>
          <w:p w:rsidR="006B3A0E" w:rsidRPr="006B3A0E" w:rsidRDefault="006B3A0E" w:rsidP="006B3A0E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      2.加注“·”号的技术指标为重要指标。</w:t>
            </w:r>
          </w:p>
          <w:p w:rsidR="006B3A0E" w:rsidRPr="006B3A0E" w:rsidRDefault="006B3A0E" w:rsidP="006B3A0E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6B3A0E">
              <w:rPr>
                <w:rFonts w:asciiTheme="minorEastAsia" w:hAnsiTheme="minorEastAsia" w:cs="宋体" w:hint="eastAsia"/>
                <w:kern w:val="0"/>
                <w:sz w:val="22"/>
              </w:rPr>
              <w:t xml:space="preserve">      3.加注“*”、“·”号的技术指标均需投标企业提供证明材料。</w:t>
            </w:r>
          </w:p>
        </w:tc>
      </w:tr>
    </w:tbl>
    <w:p w:rsidR="003649D2" w:rsidRPr="006B3A0E" w:rsidRDefault="003649D2"/>
    <w:sectPr w:rsidR="003649D2" w:rsidRPr="006B3A0E" w:rsidSect="006B3A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4D6" w:rsidRDefault="00F554D6" w:rsidP="00997E62">
      <w:r>
        <w:separator/>
      </w:r>
    </w:p>
  </w:endnote>
  <w:endnote w:type="continuationSeparator" w:id="1">
    <w:p w:rsidR="00F554D6" w:rsidRDefault="00F554D6" w:rsidP="00997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4D6" w:rsidRDefault="00F554D6" w:rsidP="00997E62">
      <w:r>
        <w:separator/>
      </w:r>
    </w:p>
  </w:footnote>
  <w:footnote w:type="continuationSeparator" w:id="1">
    <w:p w:rsidR="00F554D6" w:rsidRDefault="00F554D6" w:rsidP="00997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A0E"/>
    <w:rsid w:val="00001306"/>
    <w:rsid w:val="0000475D"/>
    <w:rsid w:val="00192F06"/>
    <w:rsid w:val="00293EB5"/>
    <w:rsid w:val="00314798"/>
    <w:rsid w:val="003350EA"/>
    <w:rsid w:val="003649D2"/>
    <w:rsid w:val="003D3850"/>
    <w:rsid w:val="004A39F5"/>
    <w:rsid w:val="004B2D70"/>
    <w:rsid w:val="004F2DD9"/>
    <w:rsid w:val="005576FD"/>
    <w:rsid w:val="005A4649"/>
    <w:rsid w:val="006B3A0E"/>
    <w:rsid w:val="00997E62"/>
    <w:rsid w:val="009B11CC"/>
    <w:rsid w:val="00A34016"/>
    <w:rsid w:val="00A56EEB"/>
    <w:rsid w:val="00A76462"/>
    <w:rsid w:val="00AE77BD"/>
    <w:rsid w:val="00B51935"/>
    <w:rsid w:val="00EC5BFD"/>
    <w:rsid w:val="00F5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7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7E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E62"/>
    <w:rPr>
      <w:sz w:val="18"/>
      <w:szCs w:val="18"/>
    </w:rPr>
  </w:style>
  <w:style w:type="paragraph" w:styleId="a5">
    <w:name w:val="Body Text"/>
    <w:basedOn w:val="a"/>
    <w:next w:val="a"/>
    <w:link w:val="Char1"/>
    <w:uiPriority w:val="99"/>
    <w:qFormat/>
    <w:rsid w:val="003D3850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"/>
    <w:basedOn w:val="a0"/>
    <w:link w:val="a5"/>
    <w:uiPriority w:val="99"/>
    <w:qFormat/>
    <w:rsid w:val="003D385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2</Pages>
  <Words>300</Words>
  <Characters>1710</Characters>
  <Application>Microsoft Office Word</Application>
  <DocSecurity>0</DocSecurity>
  <Lines>14</Lines>
  <Paragraphs>4</Paragraphs>
  <ScaleCrop>false</ScaleCrop>
  <Company>惠普(中国)股份有限公司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2023-11-21T00:17:00Z</dcterms:created>
  <dcterms:modified xsi:type="dcterms:W3CDTF">2023-11-23T11:10:00Z</dcterms:modified>
</cp:coreProperties>
</file>