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center"/>
        <w:tblLook w:val="04A0"/>
      </w:tblPr>
      <w:tblGrid>
        <w:gridCol w:w="1098"/>
        <w:gridCol w:w="2046"/>
        <w:gridCol w:w="2041"/>
        <w:gridCol w:w="1132"/>
        <w:gridCol w:w="1136"/>
        <w:gridCol w:w="1417"/>
        <w:gridCol w:w="284"/>
        <w:gridCol w:w="1016"/>
      </w:tblGrid>
      <w:tr w:rsidR="00E41436" w:rsidRPr="00E41436" w:rsidTr="00E41436">
        <w:trPr>
          <w:trHeight w:val="20"/>
          <w:jc w:val="center"/>
        </w:trPr>
        <w:tc>
          <w:tcPr>
            <w:tcW w:w="10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4143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医疗设备技术需求确认表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设备名称</w:t>
            </w:r>
          </w:p>
        </w:tc>
        <w:tc>
          <w:tcPr>
            <w:tcW w:w="4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支气管镜系统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总数量</w:t>
            </w:r>
          </w:p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（台/套）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预算总金额</w:t>
            </w:r>
          </w:p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（万元）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350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技术和性能参数名称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招标参数和性能要求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备注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基本要求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用于各类气管内部及其肺内部的各类疾病的诊断及鉴别诊断，早癌的诊断及同炎症的鉴别诊断，及各类疾病胸肺部并发症的诊断及鉴别诊断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资质认证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具有CFDA认证、CE认证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图像处理装置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特殊光观察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≥2种特殊光观察模式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降噪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在图像处理过程中校正噪点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预冻结功能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冻结功能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白平衡调节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自动增益控制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数字信号输出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具备SDI(高清)、DV（标清）、DVI（标清）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模拟信号输出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RGB、YPbPr、VBS复合输出、Y/C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图像强调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构造强调和轮廓强调功能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对比度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≥3种模式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测光模式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自动测光、峰值测光、平均测光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色调调节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可进行红、绿、蓝颜色 可调节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41436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光学数字观察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用户设定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≥20个用户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显示图像信息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可在监视器上显示构造强调级别、轮廓强调级别、变焦度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患者数据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可在监视器是显示患者姓名、患者ID、性别、记录时间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恢复默认值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内窥镜冷光源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特殊光观察功能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≥1种特殊光观察模式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097AE7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检查灯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≥300W氙灯或LED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备用光源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具备，灯泡寿命≥500小时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亮度控制模式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可自动控制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亮度方式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切换调节器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亮度调节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光路光圈控制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冷却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空气冷却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·3.2.8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自动曝光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≥10档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自体荧光成像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液晶监视器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3.3.1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尺寸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≥27英寸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·3.3.2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分辨率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≥1920×1080像素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台车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设计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多层设计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监视器吊臂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方便调整监视器观看角度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电源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带电源分配器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电子支气管内窥镜（细径型）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3.5.1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特殊光观察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具备NBI或LCI功能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视野角度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≥110°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插入管旋转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≥120°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视野方向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直视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景深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(2～50)mm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先端部外径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≤4.5mm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·3.5.7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插入部外径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≤4.1mm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有效长度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≥600mm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·3.5.9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器械通道直径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弯曲角度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上≥210°、下≥130°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最小可视距离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≤3mm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接头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防水式接头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高频电烧器械兼容性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电子支气管内窥镜（治疗型）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视野角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≥120°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插入管旋转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≥120°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视野方向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直视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景深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(2～100)mm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·3.6.5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先端部外径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≤5.9mm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插入部外径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≤6.0mm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有效长度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≥600mm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·3.6.8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器械通道直径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≥2.9mm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弯曲角度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上≥180°、下≥130°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最小可视距离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≤3mm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接头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防水式接头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高频电烧器械兼容性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超声探头驱动器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3.7.1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连接线长度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≥1850mm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3.7.2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频率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兼容12MHz、20MHz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超声小探头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显示模式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B模式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扫描方法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Arial"/>
                <w:kern w:val="0"/>
                <w:sz w:val="22"/>
              </w:rPr>
            </w:pPr>
            <w:r w:rsidRPr="00E41436">
              <w:rPr>
                <w:rFonts w:asciiTheme="minorEastAsia" w:hAnsiTheme="minorEastAsia" w:cs="Arial"/>
                <w:kern w:val="0"/>
                <w:sz w:val="22"/>
              </w:rPr>
              <w:t>机械环扫或螺旋扫描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超声频率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20MHz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有效长度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≥2000mm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全长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≥2200mm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插入部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先端侧≤1.4mm,近端侧≤1.9mm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最大外径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≤1.9mm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8E0CA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兼容内镜管道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≥2.0mm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报警及安全指标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设备指标异常提示和安全报警声、光指示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厂家自报设备近三年不良事件情况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CC3FC2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w w:val="90"/>
                <w:kern w:val="0"/>
                <w:sz w:val="22"/>
              </w:rPr>
            </w:pPr>
            <w:r w:rsidRPr="00CC3FC2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2"/>
              </w:rPr>
              <w:t>图像处理装置 1台、冷光源 1台、监视器 1台、台车 1台、电子支气管内窥镜（治疗型）2 条、电子支气管内窥镜（细径型）2 条、超声探头驱动器 1个、超声探头 1条、测漏器 1个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售后条款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*5.1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≥5年，保修期内开机率不低于95%（按365日/年计算，含节假日)，未达到要求的开机率天数，按双倍天数顺延保修期。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*5.2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零配件支持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5.3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零配件保证供应时长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厂家自报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5.4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到位维修响应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维修到达现场时间≤0.5个工作日（京内）</w:t>
            </w: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*5.5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保修期外维修费用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技术支持和服务网点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w w:val="9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w w:val="90"/>
                <w:kern w:val="0"/>
                <w:sz w:val="22"/>
              </w:rPr>
              <w:t>专用工具、资料及其它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CC3FC2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w w:val="90"/>
                <w:kern w:val="0"/>
                <w:sz w:val="22"/>
              </w:rPr>
            </w:pPr>
            <w:r w:rsidRPr="00CC3FC2">
              <w:rPr>
                <w:rFonts w:asciiTheme="minorEastAsia" w:hAnsiTheme="minorEastAsia" w:cs="宋体" w:hint="eastAsia"/>
                <w:w w:val="90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培训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CC3FC2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5.10 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交货期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CC3FC2" w:rsidRPr="00E41436" w:rsidTr="00E41436">
        <w:trPr>
          <w:trHeight w:val="20"/>
          <w:jc w:val="center"/>
        </w:trPr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C2" w:rsidRPr="00E41436" w:rsidRDefault="00CC3FC2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备注：</w:t>
            </w:r>
            <w:r w:rsidRPr="00E41436">
              <w:rPr>
                <w:rFonts w:asciiTheme="minorEastAsia" w:hAnsiTheme="minorEastAsia" w:cs="Times New Roman"/>
                <w:kern w:val="0"/>
                <w:sz w:val="22"/>
              </w:rPr>
              <w:t xml:space="preserve">1. </w:t>
            </w: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加注“*”号的技术指标为关键指标，≥1项未达到招标文件要求，即做废标处理。</w:t>
            </w: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br/>
            </w: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2.加注“·”号的技术指标为重要指标。</w:t>
            </w: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  <w:t xml:space="preserve">      3.加注“*”、“·”号的技术指标均需投标企业提供证明材料。</w:t>
            </w:r>
          </w:p>
        </w:tc>
      </w:tr>
    </w:tbl>
    <w:p w:rsidR="003649D2" w:rsidRPr="00E41436" w:rsidRDefault="003649D2"/>
    <w:sectPr w:rsidR="003649D2" w:rsidRPr="00E41436" w:rsidSect="00E41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347" w:rsidRDefault="00AA7347" w:rsidP="00CC3FC2">
      <w:r>
        <w:separator/>
      </w:r>
    </w:p>
  </w:endnote>
  <w:endnote w:type="continuationSeparator" w:id="1">
    <w:p w:rsidR="00AA7347" w:rsidRDefault="00AA7347" w:rsidP="00CC3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347" w:rsidRDefault="00AA7347" w:rsidP="00CC3FC2">
      <w:r>
        <w:separator/>
      </w:r>
    </w:p>
  </w:footnote>
  <w:footnote w:type="continuationSeparator" w:id="1">
    <w:p w:rsidR="00AA7347" w:rsidRDefault="00AA7347" w:rsidP="00CC3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1436"/>
    <w:rsid w:val="00097AE7"/>
    <w:rsid w:val="000F6981"/>
    <w:rsid w:val="002C2392"/>
    <w:rsid w:val="003649D2"/>
    <w:rsid w:val="004A39F5"/>
    <w:rsid w:val="005A4649"/>
    <w:rsid w:val="00634479"/>
    <w:rsid w:val="007171D2"/>
    <w:rsid w:val="00931A94"/>
    <w:rsid w:val="00AA7347"/>
    <w:rsid w:val="00B308E8"/>
    <w:rsid w:val="00BB655E"/>
    <w:rsid w:val="00CC3FC2"/>
    <w:rsid w:val="00E41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3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3F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3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3F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406</Words>
  <Characters>2315</Characters>
  <Application>Microsoft Office Word</Application>
  <DocSecurity>0</DocSecurity>
  <Lines>19</Lines>
  <Paragraphs>5</Paragraphs>
  <ScaleCrop>false</ScaleCrop>
  <Company>惠普(中国)股份有限公司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2024-01-24T00:42:00Z</dcterms:created>
  <dcterms:modified xsi:type="dcterms:W3CDTF">2024-03-27T07:57:00Z</dcterms:modified>
</cp:coreProperties>
</file>