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2" w:type="dxa"/>
        <w:jc w:val="center"/>
        <w:tblLayout w:type="fixed"/>
        <w:tblLook w:val="04A0"/>
      </w:tblPr>
      <w:tblGrid>
        <w:gridCol w:w="818"/>
        <w:gridCol w:w="425"/>
        <w:gridCol w:w="619"/>
        <w:gridCol w:w="1791"/>
        <w:gridCol w:w="335"/>
        <w:gridCol w:w="993"/>
        <w:gridCol w:w="708"/>
        <w:gridCol w:w="851"/>
        <w:gridCol w:w="709"/>
        <w:gridCol w:w="1144"/>
        <w:gridCol w:w="273"/>
        <w:gridCol w:w="1286"/>
      </w:tblGrid>
      <w:tr w:rsidR="008D0EEF" w:rsidRPr="0023506A" w:rsidTr="00E500DA">
        <w:trPr>
          <w:trHeight w:val="20"/>
          <w:jc w:val="center"/>
        </w:trPr>
        <w:tc>
          <w:tcPr>
            <w:tcW w:w="9952" w:type="dxa"/>
            <w:gridSpan w:val="12"/>
            <w:tcBorders>
              <w:top w:val="nil"/>
              <w:left w:val="nil"/>
              <w:bottom w:val="nil"/>
              <w:right w:val="nil"/>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方正小标宋简体" w:eastAsia="方正小标宋简体" w:hAnsiTheme="minorEastAsia" w:cs="宋体"/>
                <w:kern w:val="0"/>
                <w:sz w:val="32"/>
              </w:rPr>
            </w:pPr>
            <w:r w:rsidRPr="0023506A">
              <w:rPr>
                <w:rFonts w:ascii="方正小标宋简体" w:eastAsia="方正小标宋简体" w:hAnsiTheme="minorEastAsia" w:cs="宋体" w:hint="eastAsia"/>
                <w:kern w:val="0"/>
                <w:sz w:val="32"/>
              </w:rPr>
              <w:t>技术需求表</w:t>
            </w:r>
          </w:p>
        </w:tc>
      </w:tr>
      <w:tr w:rsidR="008D0EEF" w:rsidRPr="0023506A" w:rsidTr="00E500DA">
        <w:trPr>
          <w:trHeight w:val="20"/>
          <w:jc w:val="center"/>
        </w:trPr>
        <w:tc>
          <w:tcPr>
            <w:tcW w:w="12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项目名称</w:t>
            </w:r>
          </w:p>
        </w:tc>
        <w:tc>
          <w:tcPr>
            <w:tcW w:w="2745" w:type="dxa"/>
            <w:gridSpan w:val="3"/>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评估型高级智能创伤模拟人</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单价</w:t>
            </w:r>
            <w:r w:rsidRPr="0023506A">
              <w:rPr>
                <w:rFonts w:asciiTheme="minorEastAsia" w:hAnsiTheme="minorEastAsia" w:cs="宋体" w:hint="eastAsia"/>
                <w:b/>
                <w:kern w:val="0"/>
                <w:sz w:val="22"/>
              </w:rPr>
              <w:br/>
              <w:t>（万元）</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170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数量</w:t>
            </w:r>
          </w:p>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b/>
                <w:kern w:val="0"/>
                <w:sz w:val="22"/>
              </w:rPr>
              <w:t>（项）</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预算总金额</w:t>
            </w:r>
            <w:r w:rsidRPr="0023506A">
              <w:rPr>
                <w:rFonts w:asciiTheme="minorEastAsia" w:hAnsiTheme="minorEastAsia" w:cs="宋体" w:hint="eastAsia"/>
                <w:b/>
                <w:kern w:val="0"/>
                <w:sz w:val="22"/>
              </w:rPr>
              <w:br/>
              <w:t>（万元）</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170</w:t>
            </w:r>
          </w:p>
        </w:tc>
      </w:tr>
      <w:tr w:rsidR="008D0EEF" w:rsidRPr="0023506A" w:rsidTr="00E500DA">
        <w:trPr>
          <w:trHeight w:val="20"/>
          <w:jc w:val="center"/>
        </w:trPr>
        <w:tc>
          <w:tcPr>
            <w:tcW w:w="818" w:type="dxa"/>
            <w:tcBorders>
              <w:top w:val="nil"/>
              <w:left w:val="single" w:sz="4" w:space="0" w:color="auto"/>
              <w:bottom w:val="single" w:sz="4" w:space="0" w:color="auto"/>
              <w:right w:val="single" w:sz="4" w:space="0" w:color="auto"/>
            </w:tcBorders>
            <w:shd w:val="clear" w:color="auto" w:fill="auto"/>
            <w:vAlign w:val="center"/>
            <w:hideMark/>
          </w:tcPr>
          <w:p w:rsidR="008D0EEF" w:rsidRPr="0023506A" w:rsidRDefault="008D0EEF" w:rsidP="00147318">
            <w:pPr>
              <w:widowControl/>
              <w:adjustRightInd w:val="0"/>
              <w:snapToGrid w:val="0"/>
              <w:ind w:leftChars="-50" w:left="-105" w:rightChars="-50" w:right="-105"/>
              <w:jc w:val="center"/>
              <w:rPr>
                <w:rFonts w:asciiTheme="minorEastAsia" w:hAnsiTheme="minorEastAsia" w:cs="宋体"/>
                <w:b/>
                <w:w w:val="90"/>
                <w:kern w:val="0"/>
                <w:sz w:val="22"/>
              </w:rPr>
            </w:pPr>
            <w:r w:rsidRPr="0023506A">
              <w:rPr>
                <w:rFonts w:asciiTheme="minorEastAsia" w:hAnsiTheme="minorEastAsia" w:cs="宋体" w:hint="eastAsia"/>
                <w:b/>
                <w:w w:val="90"/>
                <w:kern w:val="0"/>
              </w:rPr>
              <w:t>需求类别</w:t>
            </w: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序号</w:t>
            </w:r>
          </w:p>
        </w:tc>
        <w:tc>
          <w:tcPr>
            <w:tcW w:w="1791" w:type="dxa"/>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需求名称</w:t>
            </w:r>
          </w:p>
        </w:tc>
        <w:tc>
          <w:tcPr>
            <w:tcW w:w="4740" w:type="dxa"/>
            <w:gridSpan w:val="6"/>
            <w:tcBorders>
              <w:top w:val="single" w:sz="4" w:space="0" w:color="auto"/>
              <w:left w:val="nil"/>
              <w:bottom w:val="single" w:sz="4" w:space="0" w:color="auto"/>
              <w:right w:val="nil"/>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技术参数和需求内容</w:t>
            </w:r>
          </w:p>
        </w:tc>
        <w:tc>
          <w:tcPr>
            <w:tcW w:w="1559" w:type="dxa"/>
            <w:gridSpan w:val="2"/>
            <w:tcBorders>
              <w:top w:val="nil"/>
              <w:left w:val="single" w:sz="4" w:space="0" w:color="auto"/>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b/>
                <w:kern w:val="0"/>
                <w:sz w:val="22"/>
              </w:rPr>
            </w:pPr>
            <w:r w:rsidRPr="0023506A">
              <w:rPr>
                <w:rFonts w:asciiTheme="minorEastAsia" w:hAnsiTheme="minorEastAsia" w:cs="宋体" w:hint="eastAsia"/>
                <w:b/>
                <w:kern w:val="0"/>
                <w:sz w:val="22"/>
              </w:rPr>
              <w:t>备注</w:t>
            </w:r>
          </w:p>
        </w:tc>
      </w:tr>
      <w:tr w:rsidR="008D0EEF" w:rsidRPr="0023506A" w:rsidTr="00E500DA">
        <w:trPr>
          <w:trHeight w:val="20"/>
          <w:jc w:val="center"/>
        </w:trPr>
        <w:tc>
          <w:tcPr>
            <w:tcW w:w="818" w:type="dxa"/>
            <w:tcBorders>
              <w:top w:val="nil"/>
              <w:left w:val="single" w:sz="4" w:space="0" w:color="auto"/>
              <w:bottom w:val="nil"/>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符合性</w:t>
            </w:r>
          </w:p>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要求</w:t>
            </w: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基本要求</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用于野外、室内创伤急救模拟训练</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资格性</w:t>
            </w:r>
          </w:p>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要求</w:t>
            </w: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资质认证</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具备CE认证</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不接受负偏离</w:t>
            </w:r>
          </w:p>
        </w:tc>
      </w:tr>
      <w:tr w:rsidR="008D0EEF" w:rsidRPr="0023506A" w:rsidTr="00E500DA">
        <w:trPr>
          <w:trHeight w:val="20"/>
          <w:jc w:val="center"/>
        </w:trPr>
        <w:tc>
          <w:tcPr>
            <w:tcW w:w="818" w:type="dxa"/>
            <w:vMerge w:val="restart"/>
            <w:tcBorders>
              <w:top w:val="nil"/>
              <w:left w:val="single" w:sz="4" w:space="0" w:color="auto"/>
              <w:bottom w:val="single" w:sz="4" w:space="0" w:color="auto"/>
              <w:right w:val="single" w:sz="4" w:space="0" w:color="auto"/>
            </w:tcBorders>
            <w:shd w:val="clear" w:color="auto" w:fill="auto"/>
            <w:vAlign w:val="center"/>
            <w:hideMark/>
          </w:tcPr>
          <w:p w:rsidR="00147318"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技术性</w:t>
            </w:r>
          </w:p>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要求</w:t>
            </w: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技术和性能参数</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外观</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成年模拟人身高≥170cm，重量≥35kg，具备基本解剖结构、标识明显，无线平板电脑操控</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具备呼吸、气道、心音、喉鸣音、肺呼吸音、肠鸣音、心电、脉搏、血压、氧饱和度、体温、超声模拟、录播汇报等功能及生理参数的模拟功能</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电池工作时间</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≥6小时</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防水</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满足IP53</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抗跌落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≥2米</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无线控制</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具备一体化无线触屏控制：所有模块内置，可手动控制及自动运行</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CB0F9E">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创伤出血功能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储血装置</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内置，自动填充，系统自动显示剩余血量</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模拟出血及自动感应止血</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全身具有自动压力止血感应出血点</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≥5处</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上肢止血带感应区域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≥5cm</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下肢压力感应区域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≥12cm</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交界部位可感应填塞压力</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r>
      <w:tr w:rsidR="004F0CD6"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3.7.2.5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压力合格后系统自动记录和止血</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left"/>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出血残肢内置血管</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≥2条</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自动感应出血点</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≥2处，出血肢体可感应压力。</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止血压力感应记忆功能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肢体和交界部位的止血压力感应具有记忆功能</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3.7.6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出血管路接头自动阀门结构</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3.8</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伤情模块</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创伤伤口≥20个，包含爆炸伤、截肢伤、刀伤、烧烫伤、复杂性骨折、挫伤等，配有专用伤片胶水</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CB0F9E"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•3.9</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病例运行</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p>
        </w:tc>
      </w:tr>
      <w:tr w:rsidR="00CB0F9E"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3.9.1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内置病例</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内置病例≥25种，可自行编辑和添加，导入和导出，无需导师操作</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p>
        </w:tc>
      </w:tr>
      <w:tr w:rsidR="00CB0F9E"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3.9.2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运行功能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模拟人感应到止血操作后，可自动触发病情变化；模拟人可在病例运行中自动按照预设发送报告到监护仪，自动按照设定在病例运行中自动发出呼救、呕吐等声音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•3.10</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三维虚拟人</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三维虚拟人体解剖模型，可旋转及放大，可显示皮</w:t>
            </w:r>
            <w:r w:rsidRPr="0023506A">
              <w:rPr>
                <w:rFonts w:asciiTheme="minorEastAsia" w:hAnsiTheme="minorEastAsia" w:cs="宋体" w:hint="eastAsia"/>
                <w:kern w:val="0"/>
                <w:sz w:val="22"/>
              </w:rPr>
              <w:lastRenderedPageBreak/>
              <w:t>肤外观及透视图，可显示人体骨骼、血管、肠、胃、动态心脏、动态肺结构，便于导师调整参数及解剖示教</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0644A4">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lastRenderedPageBreak/>
              <w:t>需现场实物演示，未</w:t>
            </w:r>
            <w:r w:rsidRPr="0023506A">
              <w:rPr>
                <w:rFonts w:asciiTheme="minorEastAsia" w:hAnsiTheme="minorEastAsia" w:cs="宋体" w:hint="eastAsia"/>
                <w:kern w:val="0"/>
                <w:sz w:val="18"/>
                <w:szCs w:val="18"/>
              </w:rPr>
              <w:lastRenderedPageBreak/>
              <w:t>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声音模拟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3.11.1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语音系统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软件语音库中具有多种声音素材，可自定义声音，可编入病例运行。</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3.11.2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人机双向交互</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通过控制软件实现导师-控制端-模拟人和学员-模拟人-导师的实时双向问诊通话</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3.11.3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模拟发声</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可在控制端软件设定模拟人间歇性呼救及发声，可设定声音大小</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眼部</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动态眨眼</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具备指示多种意识状态</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眼睑具有仿真睫毛，睫毛随眼睑眨动</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可设定眨眼模式</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≥5种</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瞳孔仿生结构</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瞳孔结构具备高仿生机械运动结构</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8D0EEF" w:rsidRPr="0023506A" w:rsidTr="00E500DA">
        <w:trPr>
          <w:trHeight w:val="379"/>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瞳孔对光反射</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双侧瞳孔可真实自动对光反射，随光线强弱自动缩放</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瞳孔扩张时间</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可通过软件控制瞳孔扩张时间范围至少为0~8s</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·3.12.7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瞳孔扩张级别</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双侧瞳孔扩张可调级别≥6，左右瞳孔可独立调节大小</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面部紫绀功能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可调整0-100%</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癫痫</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癫痫震颤功能，可调节不同强度，至少包括无、轻度、重度。</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分泌物</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眼、耳、口处双侧分泌点，无线独立控制，储液仓内置</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气道管理</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3.16.1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解剖结构</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解剖结构符合临床，口咽、鼻咽、声门上、气管插管操作，通气胸部有起伏，可模拟胃胀气</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3.16.2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喉鸣音</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喉鸣音模式≥3，可调音量，与呼吸频率同步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3.16.3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模拟伤情</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模拟舌水肿，喉痉挛等困难气道，可进行气切及环甲膜穿刺操作</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呼吸管理训练</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3.17.1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自主呼吸</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具备自主呼吸，可调呼吸频率和吸气比例，不同吸气比例下模拟人表现不同的呼吸深度和喉音，喉音与呼吸同步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3.17.2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肺音模拟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肺音模拟≥6种</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3.17.3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肠音可听诊</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*3.18</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气胸模拟</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双侧张力性气胸模拟，真实穿刺排出气体</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*3.19</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双侧液胸模拟，真实置管并引流液体。</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双侧液胸模拟，真实置管并引流液体</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3.20</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骨髓腔穿刺</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胸骨、胫骨位置，内部具有储液舱，可回抽骨髓及真实液体持续输入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穿刺</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双侧手臂静脉输液，穿刺有回血。可培训肌肉注射</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真实临床设备兼容使用</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支持连接12导联和5导联真实监护仪实时监测心电图</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具备，监护仪可通过导联线直接贴至模拟人胸皮</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支持除颤仪真实电击除颤</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具备，无需转接装置即可直接接触模拟人胸部除颤，模拟自动识别记录并自动恢复窦性心律。可使用真实除颤仪接触模拟人心尖和心底区域，识别和显示模拟人心电图，进行除颤前判断和确认</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支持真实AED使用</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支持真实AED使用，AED可识别模拟人的需除颤及无需除颤心电图。真实能量放电后，模拟人可识别能量，并自动恢复窦性心律</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支持使用临床真实无导线指夹式血氧仪测量</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支持使用临床真实无导线指夹式血氧仪测得数值与导师设定一致</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支持临床真实血压计测量血压</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具备，无需任何改装，可出现柯氏音，音量可调整。</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0644A4"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*3.22.6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支持真实听诊器听诊</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具备，模拟人正常及异常心音、肺音，无需转接装置。</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0644A4" w:rsidRPr="0023506A" w:rsidRDefault="000644A4"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心脏模块</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3.23.1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内置心电图库</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有室颤、房颤、心脏停搏、心动过速、心肌梗死、心房扑动、濒死、第一、二、三级房室传导阻滞等多种心电图可设置，可预览。自动关联驱动，无需运行病例，导师只要选择心脏停搏心电图，模拟人呼吸自动停止、血压自动下降</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•3.23.2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心电图编辑</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可自定义编辑心电图，直接在QRST波形图上拖动修改成任意心电波形，保存后可使监护仪实时显示该心电图</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•3.23.3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心肌梗塞管理训练</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三维心脏模型可立体旋转通过直接涂抹设定不同位置的血管梗塞、缺血、损伤及坏死，并生成相应的12导联心电波形</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3.23.4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心肺复苏急救操作</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实时自动监测各项指标，软件具备语音提示功能，可根据按压效果提示</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脉搏</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12处脉搏搏动可触诊，包括双侧颈动脉、双侧肘窝动脉、双侧桡动脉、双侧股动脉、双侧腘动脉、双侧足背动脉，并与血压、心率、ECG同步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护理应用</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可锻炼护理操作，如吸痰、鼻饲、导尿等</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模拟监护仪</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监护内容</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包括心率、EKG曲线、血压及动态曲线、呼吸率及动态曲线、呼末二氧化碳及动态曲线、血氧及动态曲线、颅内压及动态曲线、体温等。</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定制化监护参数</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可定制化监护参数及设定数值范围。</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师生互通</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导师可发送多种报告到模拟监护仪，学员通过模拟监护仪可发送请求到导师端。</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虚拟除颤起搏</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3.26.4.1</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除颤起搏模块</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监护界面具备虚拟除颤起搏模块，学员可操作虚拟</w:t>
            </w:r>
            <w:r w:rsidRPr="0023506A">
              <w:rPr>
                <w:rFonts w:asciiTheme="minorEastAsia" w:hAnsiTheme="minorEastAsia" w:cs="宋体" w:hint="eastAsia"/>
                <w:kern w:val="0"/>
                <w:sz w:val="22"/>
              </w:rPr>
              <w:lastRenderedPageBreak/>
              <w:t>除颤和起搏，系统对虚拟除颤、起搏自动反馈记录</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3.26.4.2</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模拟数据设定</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可设定除颤能量，具有充电和电击按键、同步/非同步电击按键，具备虚拟起搏功能，可设定起搏心率和电流</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心率动态提示音</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模拟监护仪可开启或者关闭心率动态提示音</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心率动态提示音</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软件预置4种不同的动脉血压波形图，如正常、低灌注量等</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二氧化碳波形</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具备不同呼末二氧化碳波形设置</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3.26.8</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NIBP自动监测</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具备NIBP自动监测，充放气音效和压力数值动态变化。</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录播汇报评估模块</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基本功能</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录播汇报系统，具备微软触屏平板控制端（与模拟人控制端分离）和无线摄像头，可独立于模拟人使用，可抓取模拟人数据不局限特定模拟人</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自动抓取日志</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可无线连接摄像头及模拟人，实时采集操作过程，生命体征画面，自动提取模拟人日志，可评语批注，并整合至一个界面，时间同步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权限管理</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访问权限管理及局域网远程共享查看</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无线摄像头</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配置可移动无线摄像头≥2台，内置电源，可充电，具备夜视功能，暗光环境自动启动夜视模式</w:t>
            </w:r>
          </w:p>
        </w:tc>
        <w:tc>
          <w:tcPr>
            <w:tcW w:w="1559"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147318" w:rsidP="004F0CD6">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3.27.5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画面同步</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数据文件能够作为考试过程中的评分依据，也可作为学员在自主训练过程中的自主学习回放的素材，汇报回放时点击批注可快速跳转至相应画面，学员操作画面和模拟人生命体征同步在一个画面</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•3.28</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超声评估模块</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3.28.1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探头</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具备线阵、凸阵、相阵三种探头</w:t>
            </w:r>
          </w:p>
        </w:tc>
        <w:tc>
          <w:tcPr>
            <w:tcW w:w="1559"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147318" w:rsidP="004F0CD6">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3.28.2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检查模式</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可直接在模拟人胸腹部进行超声探查，显示超声图像逼真，具有动态超声影像</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796FA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需现场实物演示，未提供样机或演示功能与要求不符，本项判定为负偏离。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3.28.3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病例</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内置急诊创伤病例≥5个，支持客户自主新建病例，导入超声图像及视频</w:t>
            </w:r>
          </w:p>
        </w:tc>
        <w:tc>
          <w:tcPr>
            <w:tcW w:w="1559" w:type="dxa"/>
            <w:gridSpan w:val="2"/>
            <w:tcBorders>
              <w:top w:val="nil"/>
              <w:left w:val="nil"/>
              <w:bottom w:val="single" w:sz="4" w:space="0" w:color="auto"/>
              <w:right w:val="single" w:sz="4" w:space="0" w:color="auto"/>
            </w:tcBorders>
            <w:shd w:val="clear" w:color="auto" w:fill="auto"/>
            <w:vAlign w:val="center"/>
            <w:hideMark/>
          </w:tcPr>
          <w:p w:rsidR="00CB0F9E" w:rsidRPr="0023506A" w:rsidRDefault="00147318" w:rsidP="004F0CD6">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3.28.4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探查角度</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支持手柄角度记忆功能，可自主设定合适探查角度。</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3.29</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系统免费升级</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具备</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•3.30</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血压测量交互</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模拟人检测到血压测量操作，会有同步动画显示到虚拟人手臂上已应用血压袖带的画面。投标现场提供样机， 演示招标参数，未提供样机或演示功能与要求不符，对应参数项判定为负偏离。</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•3.31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多终端连接</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每个导师端可同时无线连接≥3台模拟监护仪，导师端软件可控制连接的数量并单独开启关闭某个监护仪的连线，实时数据同步显示更新，便于多场景的教学培训，多角度的培训和观摩。投标现场提供样机， 演示招标参数，未提供样机或演示功能与要求不符，对应参数项判定为负偏离。</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0644A4" w:rsidP="00796FA6">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需现场实物演示，</w:t>
            </w:r>
            <w:r w:rsidR="00796FA6" w:rsidRPr="0023506A">
              <w:rPr>
                <w:rFonts w:asciiTheme="minorEastAsia" w:hAnsiTheme="minorEastAsia" w:cs="宋体" w:hint="eastAsia"/>
                <w:kern w:val="0"/>
                <w:sz w:val="18"/>
                <w:szCs w:val="18"/>
              </w:rPr>
              <w:t>未提供样机或演示功能与要求不符，本项判定为负偏离。</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报警及安全指标</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设备指标异常提示和安全报警声/光指示</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设备不良事件情况</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提供设备近三年不良事件情况（一般为厂家自报）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配置需求</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硬件</w:t>
            </w:r>
          </w:p>
        </w:tc>
        <w:tc>
          <w:tcPr>
            <w:tcW w:w="4740" w:type="dxa"/>
            <w:gridSpan w:val="6"/>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*6.1.1</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模拟人</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模拟人身体 1个</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*6.1.2</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计算机</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导师计算机1台，为触屏平板电脑</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•6.1.3</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监护仪</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模拟监护仪 1台</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CB0F9E" w:rsidP="008D0EEF">
            <w:pPr>
              <w:widowControl/>
              <w:adjustRightInd w:val="0"/>
              <w:snapToGrid w:val="0"/>
              <w:ind w:leftChars="-50" w:left="-105" w:rightChars="-50" w:right="-105"/>
              <w:jc w:val="center"/>
              <w:rPr>
                <w:rFonts w:asciiTheme="minorEastAsia" w:hAnsiTheme="minorEastAsia" w:cs="宋体"/>
                <w:kern w:val="0"/>
                <w:sz w:val="18"/>
                <w:szCs w:val="18"/>
              </w:rPr>
            </w:pPr>
            <w:r w:rsidRPr="0023506A">
              <w:rPr>
                <w:rFonts w:asciiTheme="minorEastAsia" w:hAnsiTheme="minorEastAsia" w:cs="宋体" w:hint="eastAsia"/>
                <w:kern w:val="0"/>
                <w:sz w:val="18"/>
                <w:szCs w:val="18"/>
              </w:rPr>
              <w:t>需按备注第4条要求提供检测报告</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•6.1.4</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录播系统</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录播汇报系统控制端1台，为触屏平板电脑</w:t>
            </w:r>
          </w:p>
        </w:tc>
        <w:tc>
          <w:tcPr>
            <w:tcW w:w="1559" w:type="dxa"/>
            <w:gridSpan w:val="2"/>
            <w:tcBorders>
              <w:top w:val="nil"/>
              <w:left w:val="nil"/>
              <w:bottom w:val="single" w:sz="4" w:space="0" w:color="auto"/>
              <w:right w:val="single" w:sz="4" w:space="0" w:color="auto"/>
            </w:tcBorders>
            <w:shd w:val="clear" w:color="auto" w:fill="auto"/>
            <w:vAlign w:val="center"/>
            <w:hideMark/>
          </w:tcPr>
          <w:p w:rsidR="004F0CD6" w:rsidRPr="0023506A" w:rsidRDefault="004F0CD6" w:rsidP="008D0EEF">
            <w:pPr>
              <w:widowControl/>
              <w:adjustRightInd w:val="0"/>
              <w:snapToGrid w:val="0"/>
              <w:ind w:leftChars="-50" w:left="-105" w:rightChars="-50" w:right="-105"/>
              <w:jc w:val="center"/>
              <w:rPr>
                <w:rFonts w:asciiTheme="minorEastAsia" w:hAnsiTheme="minorEastAsia" w:cs="宋体"/>
                <w:kern w:val="0"/>
                <w:sz w:val="18"/>
                <w:szCs w:val="18"/>
              </w:rPr>
            </w:pPr>
            <w:r w:rsidRPr="0023506A">
              <w:rPr>
                <w:rFonts w:asciiTheme="minorEastAsia" w:hAnsiTheme="minorEastAsia" w:cs="宋体" w:hint="eastAsia"/>
                <w:kern w:val="0"/>
                <w:sz w:val="18"/>
                <w:szCs w:val="18"/>
              </w:rPr>
              <w:t>需按备注第3条要求提供证明材料</w:t>
            </w:r>
          </w:p>
          <w:p w:rsidR="008D0EEF"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需按备注第4条要求提供检测报告</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6.1.5</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摄像头</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无线摄像头 2台</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*6.1.6</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超声训练系</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超声训练系统1套</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4F0CD6"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需按备注第3条要求提供证明材料</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出血断肢</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不同部位炸伤出血断肢4个</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p w:rsidR="00CB0F9E" w:rsidRPr="0023506A" w:rsidRDefault="00CB0F9E"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需按备注第4条要求提供检测报告</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•6.1.8</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出血伤口</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不同交界部位出血伤口2个</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147318"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可量化指标</w:t>
            </w:r>
          </w:p>
          <w:p w:rsidR="00CB0F9E" w:rsidRPr="0023506A" w:rsidRDefault="00CB0F9E" w:rsidP="00CB0F9E">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18"/>
                <w:szCs w:val="18"/>
              </w:rPr>
              <w:t>需按备注第4条要求提供检测报告</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售后条款</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*7.1</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原厂保修年限</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≥5年，保修期内开机率不低于95%（按365日/年计算，含节假日)，未达到要求的开机率天数，按双倍天数顺延保修期。</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*7.2</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零配件支持</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DA64A0" w:rsidP="00A070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至少</w:t>
            </w:r>
            <w:r w:rsidR="003672EE" w:rsidRPr="0023506A">
              <w:rPr>
                <w:rFonts w:asciiTheme="minorEastAsia" w:hAnsiTheme="minorEastAsia" w:cs="宋体" w:hint="eastAsia"/>
                <w:kern w:val="0"/>
                <w:sz w:val="22"/>
              </w:rPr>
              <w:t>包含“3.8伤情模块”</w:t>
            </w:r>
            <w:r w:rsidR="00A070EF" w:rsidRPr="0023506A">
              <w:rPr>
                <w:rFonts w:asciiTheme="minorEastAsia" w:hAnsiTheme="minorEastAsia" w:cs="宋体" w:hint="eastAsia"/>
                <w:kern w:val="0"/>
                <w:sz w:val="22"/>
              </w:rPr>
              <w:t>所有所投模块</w:t>
            </w:r>
            <w:r w:rsidR="003672EE" w:rsidRPr="0023506A">
              <w:rPr>
                <w:rFonts w:asciiTheme="minorEastAsia" w:hAnsiTheme="minorEastAsia" w:cs="宋体" w:hint="eastAsia"/>
                <w:kern w:val="0"/>
                <w:sz w:val="22"/>
              </w:rPr>
              <w:t>，并</w:t>
            </w:r>
            <w:r w:rsidR="00A070EF" w:rsidRPr="0023506A">
              <w:rPr>
                <w:rFonts w:asciiTheme="minorEastAsia" w:hAnsiTheme="minorEastAsia" w:cs="宋体" w:hint="eastAsia"/>
                <w:kern w:val="0"/>
                <w:sz w:val="22"/>
              </w:rPr>
              <w:t>进行明确报价</w:t>
            </w: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7.3</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零配件保证供应时长</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厂家自报</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7.4</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到位维修响应</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维修到达现场时间≤0.5个工作日（京内）</w:t>
            </w:r>
            <w:r w:rsidRPr="0023506A">
              <w:rPr>
                <w:rFonts w:asciiTheme="minorEastAsia" w:hAnsiTheme="minorEastAsia" w:cs="宋体" w:hint="eastAsia"/>
                <w:kern w:val="0"/>
                <w:sz w:val="22"/>
              </w:rPr>
              <w:br/>
              <w:t>维修到达现场时间≤3个工作日（京外）</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*7.5</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保修期外维修费用</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提供免费保修期外的年度整机保修费用价格，提供维修工时费计算方法及价格</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·7.6</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技术支持和服务网点</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w w:val="90"/>
                <w:kern w:val="0"/>
                <w:sz w:val="22"/>
              </w:rPr>
            </w:pPr>
            <w:r w:rsidRPr="0023506A">
              <w:rPr>
                <w:rFonts w:asciiTheme="minorEastAsia" w:hAnsiTheme="minorEastAsia" w:cs="宋体" w:hint="eastAsia"/>
                <w:w w:val="90"/>
                <w:kern w:val="0"/>
                <w:sz w:val="22"/>
              </w:rPr>
              <w:t>提供全国主要城市售后服务网点及售后人员数量</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·7.7</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升级与软件维护</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保修期内免费升级和软件维护；保修期外，原软件维护仅收工时费</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·7.8</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专用工具、资料及其它</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提供设备配套的维修专用工具，资料（操作手册、维修手册等）</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·7.9</w:t>
            </w:r>
          </w:p>
        </w:tc>
        <w:tc>
          <w:tcPr>
            <w:tcW w:w="1791" w:type="dxa"/>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培训</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提供使用培训和工程师原厂培训</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0"/>
          <w:jc w:val="center"/>
        </w:trPr>
        <w:tc>
          <w:tcPr>
            <w:tcW w:w="818" w:type="dxa"/>
            <w:vMerge/>
            <w:tcBorders>
              <w:top w:val="nil"/>
              <w:left w:val="single" w:sz="4" w:space="0" w:color="auto"/>
              <w:bottom w:val="single" w:sz="4" w:space="0" w:color="auto"/>
              <w:right w:val="single" w:sz="4" w:space="0" w:color="auto"/>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c>
          <w:tcPr>
            <w:tcW w:w="1044"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r w:rsidRPr="0023506A">
              <w:rPr>
                <w:rFonts w:asciiTheme="minorEastAsia" w:hAnsiTheme="minorEastAsia" w:cs="宋体" w:hint="eastAsia"/>
                <w:kern w:val="0"/>
                <w:sz w:val="22"/>
              </w:rPr>
              <w:t xml:space="preserve">7.10 </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交货期</w:t>
            </w:r>
          </w:p>
        </w:tc>
        <w:tc>
          <w:tcPr>
            <w:tcW w:w="4740" w:type="dxa"/>
            <w:gridSpan w:val="6"/>
            <w:tcBorders>
              <w:top w:val="single" w:sz="4" w:space="0" w:color="auto"/>
              <w:left w:val="nil"/>
              <w:bottom w:val="single" w:sz="4" w:space="0" w:color="auto"/>
              <w:right w:val="single" w:sz="4" w:space="0" w:color="000000"/>
            </w:tcBorders>
            <w:shd w:val="clear" w:color="auto" w:fill="auto"/>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合同签订后2个月内交货</w:t>
            </w:r>
          </w:p>
        </w:tc>
        <w:tc>
          <w:tcPr>
            <w:tcW w:w="1559" w:type="dxa"/>
            <w:gridSpan w:val="2"/>
            <w:tcBorders>
              <w:top w:val="nil"/>
              <w:left w:val="nil"/>
              <w:bottom w:val="single" w:sz="4" w:space="0" w:color="auto"/>
              <w:right w:val="single" w:sz="4" w:space="0" w:color="auto"/>
            </w:tcBorders>
            <w:shd w:val="clear" w:color="auto" w:fill="auto"/>
            <w:vAlign w:val="center"/>
            <w:hideMark/>
          </w:tcPr>
          <w:p w:rsidR="008D0EEF" w:rsidRPr="0023506A" w:rsidRDefault="008D0EEF" w:rsidP="008D0EEF">
            <w:pPr>
              <w:widowControl/>
              <w:adjustRightInd w:val="0"/>
              <w:snapToGrid w:val="0"/>
              <w:ind w:leftChars="-50" w:left="-105" w:rightChars="-50" w:right="-105"/>
              <w:jc w:val="center"/>
              <w:rPr>
                <w:rFonts w:asciiTheme="minorEastAsia" w:hAnsiTheme="minorEastAsia" w:cs="宋体"/>
                <w:kern w:val="0"/>
                <w:sz w:val="22"/>
              </w:rPr>
            </w:pPr>
          </w:p>
        </w:tc>
      </w:tr>
      <w:tr w:rsidR="008D0EEF" w:rsidRPr="0023506A" w:rsidTr="00E500DA">
        <w:trPr>
          <w:trHeight w:val="285"/>
          <w:jc w:val="center"/>
        </w:trPr>
        <w:tc>
          <w:tcPr>
            <w:tcW w:w="9952" w:type="dxa"/>
            <w:gridSpan w:val="1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E2D6E" w:rsidRPr="0023506A" w:rsidRDefault="008D0EEF" w:rsidP="004E2D6E">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备注：1.加注“*”号的技术指标为关键指标，≥1项未达到招标文件要求，即做废标处理。</w:t>
            </w:r>
          </w:p>
          <w:p w:rsidR="004E2D6E" w:rsidRPr="0023506A" w:rsidRDefault="008D0EEF" w:rsidP="004E2D6E">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2.加注“●”号的技术指标为重要指标。</w:t>
            </w:r>
          </w:p>
          <w:p w:rsidR="004E2D6E" w:rsidRPr="0023506A" w:rsidRDefault="008D0EEF" w:rsidP="004E2D6E">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3.加注“*”、“●”号为本项目重要内容和技术要求，对于软件系统和数字模型的标记●项和标记*项，均要求投标方在现场提供有关的软件著作权证书、或软件产品（包括软件原型系统）的现场演示、或其他卫勤模拟训练应用实例视频演示，作为技术参数评审的现场审查依据。</w:t>
            </w:r>
          </w:p>
          <w:p w:rsidR="008D0EEF" w:rsidRPr="0023506A" w:rsidRDefault="008D0EEF" w:rsidP="004E2D6E">
            <w:pPr>
              <w:widowControl/>
              <w:adjustRightInd w:val="0"/>
              <w:snapToGrid w:val="0"/>
              <w:ind w:leftChars="-50" w:left="-105" w:rightChars="-50" w:right="-105"/>
              <w:jc w:val="left"/>
              <w:rPr>
                <w:rFonts w:asciiTheme="minorEastAsia" w:hAnsiTheme="minorEastAsia" w:cs="宋体"/>
                <w:kern w:val="0"/>
                <w:sz w:val="22"/>
              </w:rPr>
            </w:pPr>
            <w:r w:rsidRPr="0023506A">
              <w:rPr>
                <w:rFonts w:asciiTheme="minorEastAsia" w:hAnsiTheme="minorEastAsia" w:cs="宋体" w:hint="eastAsia"/>
                <w:kern w:val="0"/>
                <w:sz w:val="22"/>
              </w:rPr>
              <w:t xml:space="preserve">      4.对于标记●的硬件货物，投标方须提供投标人须提供具有CNAS国家认证认可监督管理委员会批准的第三方检测机构出具的检测报告，以检测报告数据为准，原件备查。</w:t>
            </w:r>
          </w:p>
        </w:tc>
      </w:tr>
      <w:tr w:rsidR="008D0EEF" w:rsidRPr="0023506A" w:rsidTr="00E500DA">
        <w:trPr>
          <w:trHeight w:val="311"/>
          <w:jc w:val="center"/>
        </w:trPr>
        <w:tc>
          <w:tcPr>
            <w:tcW w:w="9952" w:type="dxa"/>
            <w:gridSpan w:val="12"/>
            <w:vMerge/>
            <w:tcBorders>
              <w:top w:val="single" w:sz="4" w:space="0" w:color="auto"/>
              <w:left w:val="single" w:sz="4" w:space="0" w:color="auto"/>
              <w:bottom w:val="single" w:sz="4" w:space="0" w:color="000000"/>
              <w:right w:val="single" w:sz="4" w:space="0" w:color="000000"/>
            </w:tcBorders>
            <w:vAlign w:val="center"/>
            <w:hideMark/>
          </w:tcPr>
          <w:p w:rsidR="008D0EEF" w:rsidRPr="0023506A" w:rsidRDefault="008D0EEF" w:rsidP="008D0EEF">
            <w:pPr>
              <w:widowControl/>
              <w:adjustRightInd w:val="0"/>
              <w:snapToGrid w:val="0"/>
              <w:ind w:leftChars="-50" w:left="-105" w:rightChars="-50" w:right="-105"/>
              <w:jc w:val="left"/>
              <w:rPr>
                <w:rFonts w:asciiTheme="minorEastAsia" w:hAnsiTheme="minorEastAsia" w:cs="宋体"/>
                <w:kern w:val="0"/>
                <w:sz w:val="22"/>
              </w:rPr>
            </w:pPr>
          </w:p>
        </w:tc>
      </w:tr>
    </w:tbl>
    <w:p w:rsidR="003649D2" w:rsidRPr="008D0EEF" w:rsidRDefault="003649D2"/>
    <w:sectPr w:rsidR="003649D2" w:rsidRPr="008D0EEF" w:rsidSect="008D0E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648" w:rsidRDefault="00E66648" w:rsidP="00147318">
      <w:r>
        <w:separator/>
      </w:r>
    </w:p>
  </w:endnote>
  <w:endnote w:type="continuationSeparator" w:id="1">
    <w:p w:rsidR="00E66648" w:rsidRDefault="00E66648" w:rsidP="001473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648" w:rsidRDefault="00E66648" w:rsidP="00147318">
      <w:r>
        <w:separator/>
      </w:r>
    </w:p>
  </w:footnote>
  <w:footnote w:type="continuationSeparator" w:id="1">
    <w:p w:rsidR="00E66648" w:rsidRDefault="00E66648" w:rsidP="001473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0EEF"/>
    <w:rsid w:val="000537AB"/>
    <w:rsid w:val="000644A4"/>
    <w:rsid w:val="00091A07"/>
    <w:rsid w:val="00147318"/>
    <w:rsid w:val="001B47C0"/>
    <w:rsid w:val="0023506A"/>
    <w:rsid w:val="00363300"/>
    <w:rsid w:val="003649D2"/>
    <w:rsid w:val="00365C23"/>
    <w:rsid w:val="003672EE"/>
    <w:rsid w:val="00370125"/>
    <w:rsid w:val="00433144"/>
    <w:rsid w:val="004A39F5"/>
    <w:rsid w:val="004E2D6E"/>
    <w:rsid w:val="004F0CD6"/>
    <w:rsid w:val="005A4649"/>
    <w:rsid w:val="006537DE"/>
    <w:rsid w:val="00796FA6"/>
    <w:rsid w:val="007A7601"/>
    <w:rsid w:val="0081153B"/>
    <w:rsid w:val="008D0EEF"/>
    <w:rsid w:val="009E1959"/>
    <w:rsid w:val="00A070EF"/>
    <w:rsid w:val="00A9616C"/>
    <w:rsid w:val="00B22190"/>
    <w:rsid w:val="00B3052C"/>
    <w:rsid w:val="00B9523F"/>
    <w:rsid w:val="00BB5E63"/>
    <w:rsid w:val="00CB0F9E"/>
    <w:rsid w:val="00DA64A0"/>
    <w:rsid w:val="00E500DA"/>
    <w:rsid w:val="00E66648"/>
    <w:rsid w:val="00F236BE"/>
    <w:rsid w:val="00F70F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73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7318"/>
    <w:rPr>
      <w:sz w:val="18"/>
      <w:szCs w:val="18"/>
    </w:rPr>
  </w:style>
  <w:style w:type="paragraph" w:styleId="a4">
    <w:name w:val="footer"/>
    <w:basedOn w:val="a"/>
    <w:link w:val="Char0"/>
    <w:uiPriority w:val="99"/>
    <w:semiHidden/>
    <w:unhideWhenUsed/>
    <w:rsid w:val="001473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47318"/>
    <w:rPr>
      <w:sz w:val="18"/>
      <w:szCs w:val="18"/>
    </w:rPr>
  </w:style>
  <w:style w:type="paragraph" w:styleId="a5">
    <w:name w:val="Document Map"/>
    <w:basedOn w:val="a"/>
    <w:link w:val="Char1"/>
    <w:uiPriority w:val="99"/>
    <w:semiHidden/>
    <w:unhideWhenUsed/>
    <w:rsid w:val="00B9523F"/>
    <w:rPr>
      <w:rFonts w:ascii="宋体" w:eastAsia="宋体"/>
      <w:sz w:val="18"/>
      <w:szCs w:val="18"/>
    </w:rPr>
  </w:style>
  <w:style w:type="character" w:customStyle="1" w:styleId="Char1">
    <w:name w:val="文档结构图 Char"/>
    <w:basedOn w:val="a0"/>
    <w:link w:val="a5"/>
    <w:uiPriority w:val="99"/>
    <w:semiHidden/>
    <w:rsid w:val="00B9523F"/>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4000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5</Pages>
  <Words>844</Words>
  <Characters>4814</Characters>
  <Application>Microsoft Office Word</Application>
  <DocSecurity>0</DocSecurity>
  <Lines>40</Lines>
  <Paragraphs>11</Paragraphs>
  <ScaleCrop>false</ScaleCrop>
  <Company>惠普(中国)股份有限公司</Company>
  <LinksUpToDate>false</LinksUpToDate>
  <CharactersWithSpaces>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15</cp:revision>
  <dcterms:created xsi:type="dcterms:W3CDTF">2024-01-25T01:29:00Z</dcterms:created>
  <dcterms:modified xsi:type="dcterms:W3CDTF">2024-04-26T02:14:00Z</dcterms:modified>
</cp:coreProperties>
</file>