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7"/>
        <w:tblW w:w="9060" w:type="dxa"/>
        <w:jc w:val="center"/>
        <w:tblLayout w:type="fixed"/>
        <w:tblCellMar>
          <w:top w:w="0" w:type="dxa"/>
          <w:left w:w="108" w:type="dxa"/>
          <w:bottom w:w="0" w:type="dxa"/>
          <w:right w:w="108" w:type="dxa"/>
        </w:tblCellMar>
      </w:tblPr>
      <w:tblGrid>
        <w:gridCol w:w="501"/>
        <w:gridCol w:w="669"/>
        <w:gridCol w:w="720"/>
        <w:gridCol w:w="720"/>
        <w:gridCol w:w="75"/>
        <w:gridCol w:w="1095"/>
        <w:gridCol w:w="2115"/>
        <w:gridCol w:w="1208"/>
        <w:gridCol w:w="727"/>
        <w:gridCol w:w="1230"/>
      </w:tblGrid>
      <w:tr>
        <w:tblPrEx>
          <w:tblCellMar>
            <w:top w:w="0" w:type="dxa"/>
            <w:left w:w="108" w:type="dxa"/>
            <w:bottom w:w="0" w:type="dxa"/>
            <w:right w:w="108" w:type="dxa"/>
          </w:tblCellMar>
        </w:tblPrEx>
        <w:trPr>
          <w:trHeight w:val="600" w:hRule="atLeast"/>
          <w:jc w:val="center"/>
        </w:trPr>
        <w:tc>
          <w:tcPr>
            <w:tcW w:w="9060" w:type="dxa"/>
            <w:gridSpan w:val="10"/>
            <w:tcBorders>
              <w:top w:val="nil"/>
              <w:left w:val="nil"/>
              <w:bottom w:val="nil"/>
              <w:right w:val="nil"/>
            </w:tcBorders>
            <w:vAlign w:val="center"/>
          </w:tcPr>
          <w:p>
            <w:pPr>
              <w:widowControl/>
              <w:spacing w:line="360" w:lineRule="exact"/>
              <w:jc w:val="left"/>
              <w:textAlignment w:val="center"/>
              <w:rPr>
                <w:rFonts w:hint="eastAsia" w:ascii="宋体" w:hAnsi="宋体" w:eastAsia="宋体" w:cs="宋体"/>
                <w:lang w:val="en-US" w:eastAsia="zh-CN"/>
              </w:rPr>
            </w:pPr>
          </w:p>
        </w:tc>
      </w:tr>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采购计划编号</w:t>
            </w:r>
          </w:p>
        </w:tc>
        <w:tc>
          <w:tcPr>
            <w:tcW w:w="1515"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eastAsia" w:ascii="黑体" w:hAnsi="宋体" w:eastAsia="黑体" w:cs="黑体"/>
                <w:sz w:val="20"/>
                <w:lang w:eastAsia="zh-CN"/>
              </w:rPr>
            </w:pPr>
            <w:r>
              <w:rPr>
                <w:rFonts w:hint="eastAsia" w:ascii="黑体" w:hAnsi="宋体" w:eastAsia="黑体" w:cs="黑体"/>
                <w:sz w:val="20"/>
                <w:lang w:val="en-US" w:eastAsia="zh-CN"/>
              </w:rPr>
              <w:t>/</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便携式二代测序仪</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最高限价</w:t>
            </w:r>
          </w:p>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（万元）</w:t>
            </w:r>
          </w:p>
        </w:tc>
        <w:tc>
          <w:tcPr>
            <w:tcW w:w="1957" w:type="dxa"/>
            <w:gridSpan w:val="2"/>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50</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需求名称</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4418"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adjustRightInd w:val="0"/>
              <w:snapToGrid w:val="0"/>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可开展小型全基因组测序、宏基因组测序、多重扩增或杂交捕获等靶向测序等科研应用。可以用于获得全血、血浆、细胞、肿瘤组织、粪便、拭子等不同类型和来源样本中的基因组或靶向区域信息。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kern w:val="0"/>
                <w:sz w:val="20"/>
              </w:rPr>
              <w:t>相关证明材料</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数据读长</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自动化单端和自动化双端读取序列，读长≥300bp；可支持1×100bp、2×150bp等多种读长，并支持在1-150bp范围内自定义读取长度。</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相关证明材料</w:t>
            </w:r>
          </w:p>
        </w:tc>
      </w:tr>
      <w:tr>
        <w:tblPrEx>
          <w:tblCellMar>
            <w:top w:w="0" w:type="dxa"/>
            <w:left w:w="108" w:type="dxa"/>
            <w:bottom w:w="0" w:type="dxa"/>
            <w:right w:w="108" w:type="dxa"/>
          </w:tblCellMar>
        </w:tblPrEx>
        <w:trPr>
          <w:trHeight w:val="9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sz w:val="20"/>
              </w:rPr>
            </w:pPr>
            <w:r>
              <w:rPr>
                <w:rFonts w:hint="eastAsia" w:ascii="黑体" w:hAnsi="黑体" w:eastAsia="黑体" w:cs="黑体"/>
                <w:sz w:val="20"/>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数据通量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每次运行可生成≥7.5G碱基数据。</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相关证明材料</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sz w:val="20"/>
              </w:rPr>
            </w:pPr>
            <w:r>
              <w:rPr>
                <w:rFonts w:hint="eastAsia" w:ascii="黑体" w:hAnsi="黑体" w:eastAsia="黑体" w:cs="黑体"/>
                <w:sz w:val="20"/>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数据通量与测序时长</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Theme="minorEastAsia" w:hAnsiTheme="minorEastAsia" w:eastAsiaTheme="minorEastAsia" w:cstheme="minorEastAsia"/>
                <w:szCs w:val="21"/>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每次运行可生成≥25M条片段序列（单端模式下），SE100测序时间不超过5小时。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相关证明材料</w:t>
            </w:r>
          </w:p>
        </w:tc>
      </w:tr>
      <w:tr>
        <w:tblPrEx>
          <w:tblCellMar>
            <w:top w:w="0" w:type="dxa"/>
            <w:left w:w="108" w:type="dxa"/>
            <w:bottom w:w="0" w:type="dxa"/>
            <w:right w:w="108" w:type="dxa"/>
          </w:tblCellMar>
        </w:tblPrEx>
        <w:trPr>
          <w:trHeight w:val="193"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操作便利性</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cs="宋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仪器需触摸屏幕操作界面，测序控制软件界面需支持中英文。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 w:val="20"/>
              </w:rPr>
              <w:t>相关证明材料</w:t>
            </w:r>
          </w:p>
        </w:tc>
      </w:tr>
      <w:tr>
        <w:tblPrEx>
          <w:tblCellMar>
            <w:top w:w="0" w:type="dxa"/>
            <w:left w:w="108" w:type="dxa"/>
            <w:bottom w:w="0" w:type="dxa"/>
            <w:right w:w="108" w:type="dxa"/>
          </w:tblCellMar>
        </w:tblPrEx>
        <w:trPr>
          <w:trHeight w:val="603"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sz w:val="20"/>
              </w:rPr>
            </w:pPr>
            <w:r>
              <w:rPr>
                <w:rFonts w:hint="eastAsia" w:ascii="黑体" w:hAnsi="黑体" w:eastAsia="黑体" w:cs="黑体"/>
                <w:sz w:val="20"/>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数据准确性</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测序结果给出严格的Q30数据质量评判，SE100读长下，标准文库的测序Q30值≥90%。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8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cs="黑体" w:eastAsiaTheme="minorEastAsia"/>
                <w:kern w:val="0"/>
                <w:sz w:val="20"/>
              </w:rPr>
            </w:pPr>
            <w:r>
              <w:rPr>
                <w:rFonts w:hint="eastAsia" w:asciiTheme="minorEastAsia" w:hAnsiTheme="minorEastAsia" w:eastAsiaTheme="minorEastAsia" w:cstheme="minorEastAsia"/>
                <w:kern w:val="0"/>
                <w:sz w:val="20"/>
              </w:rPr>
              <w:t>设备主机独立测序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使用测序仪主机即可独立完成测序载片的样本加载，无需额外设备、装置、配件等进行样本加载、孵育等过程。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CellMar>
            <w:top w:w="0" w:type="dxa"/>
            <w:left w:w="108" w:type="dxa"/>
            <w:bottom w:w="0" w:type="dxa"/>
            <w:right w:w="108" w:type="dxa"/>
          </w:tblCellMar>
        </w:tblPrEx>
        <w:trPr>
          <w:trHeight w:val="355"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扩增原理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采用线性扩增方式，每轮扩增均以原始文库分子为模板，有效减少由PCR引入的错误累积的影响。</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kern w:val="0"/>
                <w:sz w:val="20"/>
              </w:rPr>
              <w:t>相关证明材料</w:t>
            </w:r>
          </w:p>
        </w:tc>
      </w:tr>
      <w:tr>
        <w:tblPrEx>
          <w:tblCellMar>
            <w:top w:w="0" w:type="dxa"/>
            <w:left w:w="108" w:type="dxa"/>
            <w:bottom w:w="0" w:type="dxa"/>
            <w:right w:w="108" w:type="dxa"/>
          </w:tblCellMar>
        </w:tblPrEx>
        <w:trPr>
          <w:trHeight w:val="8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防止污染</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所有扩增反应（包括文库拷贝数扩增）均需在测序载片加载文库操作之前，测序载片加载文库后，不进行任何扩增操作，有效减少文库之间的交叉污染。</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265"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碱基信息判定方法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仪器采用半导体或相关技术采集光或电信号判定碱基信息，无需激光激发等复杂光学系统。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8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11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条码序列读取顺序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样本分子标签序列（barcode, index）的测序位于插入片段（insert）测序结束后，减少条码序列测序对插入片段测序的影响。</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CellMar>
            <w:top w:w="0" w:type="dxa"/>
            <w:left w:w="108" w:type="dxa"/>
            <w:bottom w:w="0" w:type="dxa"/>
            <w:right w:w="108" w:type="dxa"/>
          </w:tblCellMar>
        </w:tblPrEx>
        <w:trPr>
          <w:trHeight w:val="8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支持自定义分子标签</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支持客户分子标签序列列表导入，并能在测序结束后自动生成按照不同分子标签拆分的测序数据及相应的质控指标。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CellMar>
            <w:top w:w="0" w:type="dxa"/>
            <w:left w:w="108" w:type="dxa"/>
            <w:bottom w:w="0" w:type="dxa"/>
            <w:right w:w="108" w:type="dxa"/>
          </w:tblCellMar>
        </w:tblPrEx>
        <w:trPr>
          <w:trHeight w:val="8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下机数据格式</w:t>
            </w:r>
          </w:p>
        </w:tc>
        <w:tc>
          <w:tcPr>
            <w:tcW w:w="720" w:type="dxa"/>
            <w:tcBorders>
              <w:top w:val="single" w:color="000000" w:sz="4" w:space="0"/>
              <w:left w:val="single" w:color="000000" w:sz="4" w:space="0"/>
              <w:bottom w:val="single" w:color="000000" w:sz="4" w:space="0"/>
              <w:right w:val="single" w:color="000000" w:sz="4" w:space="0"/>
            </w:tcBorders>
            <w:vAlign w:val="center"/>
          </w:tcPr>
          <w:p>
            <w:pPr>
              <w:rPr>
                <w:rFonts w:asciiTheme="minorEastAsia" w:hAnsiTheme="minorEastAsia" w:eastAsiaTheme="minorEastAsia" w:cstheme="minorEastAsia"/>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测序仪下机数据为压缩好的FastQ文件格式，可直接用于主流生信分析软件进行数据分析；测序仪主机应具备直接导出FastQ文件的功能。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8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14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内置硬盘</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测序仪内置硬盘空间应足够容纳至少10次测序(读长SE100等同)的完整原始数据，同时具备选择数据进行删除或直接导出的功能界面。</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16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15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仪器维护</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测序流程运行结束后可直接进行下一次运行，无需对测序仪器进行管路清洗或维护。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9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16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操作便利性</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嵌入式操作系统，无需外部电脑即可独立工作。</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8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17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测序仪自带分析服务器</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支持数据、生信分析结果在测序仪主机与分析服务器的双向传输。可直接在测序仪触摸屏上查看分析报告。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9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黑体" w:hAnsi="黑体" w:eastAsia="黑体" w:cs="黑体"/>
                <w:kern w:val="0"/>
                <w:sz w:val="20"/>
              </w:rPr>
            </w:pPr>
            <w:r>
              <w:rPr>
                <w:rFonts w:hint="eastAsia" w:ascii="黑体" w:hAnsi="黑体" w:eastAsia="黑体" w:cs="黑体"/>
                <w:kern w:val="0"/>
                <w:sz w:val="20"/>
              </w:rPr>
              <w:t>18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测序仪配套相应工作软件</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测序结束后自动生成测序下机报告，汇报测序运行情况及下机数据质量参数。</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355"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机身重量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要求机身重量小于等于180千克，机身轻，更便于移动。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28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Theme="minorEastAsia" w:hAnsiTheme="minorEastAsia" w:eastAsiaTheme="minorEastAsia" w:cstheme="minorEastAsia"/>
                <w:kern w:val="0"/>
                <w:sz w:val="20"/>
              </w:rPr>
              <w:t>机身尺寸</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长宽高之和小于等于2000毫米，机身越小，更便于移动和携带。</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9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配置要求1</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基因测序仪主机：1台</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企业承诺</w:t>
            </w:r>
          </w:p>
        </w:tc>
      </w:tr>
      <w:tr>
        <w:tblPrEx>
          <w:tblCellMar>
            <w:top w:w="0" w:type="dxa"/>
            <w:left w:w="108" w:type="dxa"/>
            <w:bottom w:w="0" w:type="dxa"/>
            <w:right w:w="108" w:type="dxa"/>
          </w:tblCellMar>
        </w:tblPrEx>
        <w:trPr>
          <w:trHeight w:val="1085"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配置要求2</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基因测序仪自带配套分析服务器：1台</w:t>
            </w:r>
          </w:p>
          <w:p>
            <w:pPr>
              <w:widowControl/>
              <w:spacing w:line="240" w:lineRule="exact"/>
              <w:jc w:val="left"/>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1.CPU:i7-10700T（8核）</w:t>
            </w:r>
          </w:p>
          <w:p>
            <w:pPr>
              <w:widowControl/>
              <w:spacing w:line="240" w:lineRule="exact"/>
              <w:jc w:val="left"/>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2.内存：64G</w:t>
            </w:r>
          </w:p>
          <w:p>
            <w:pPr>
              <w:widowControl/>
              <w:spacing w:line="240" w:lineRule="exact"/>
              <w:jc w:val="left"/>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3.硬盘：256GB固态硬盘+2T机械硬盘</w:t>
            </w:r>
          </w:p>
          <w:p>
            <w:pPr>
              <w:widowControl/>
              <w:spacing w:line="240" w:lineRule="exact"/>
              <w:jc w:val="left"/>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4.显示器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9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配置要求3</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 w:val="20"/>
              </w:rPr>
              <w:t>配套仪器控制软件：</w:t>
            </w:r>
            <w:r>
              <w:rPr>
                <w:rFonts w:hint="eastAsia" w:asciiTheme="minorEastAsia" w:hAnsiTheme="minorEastAsia" w:eastAsiaTheme="minorEastAsia" w:cstheme="minorEastAsia"/>
                <w:szCs w:val="21"/>
              </w:rPr>
              <w:t>1套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配置要求4</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 w:val="20"/>
              </w:rPr>
              <w:t>配套仪器调试用试剂：</w:t>
            </w:r>
            <w:r>
              <w:rPr>
                <w:rFonts w:hint="eastAsia" w:asciiTheme="minorEastAsia" w:hAnsiTheme="minorEastAsia" w:eastAsiaTheme="minorEastAsia" w:cstheme="minorEastAsia"/>
                <w:szCs w:val="21"/>
              </w:rPr>
              <w:t>2套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相关证明材料</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配套耗材</w:t>
            </w:r>
            <w:r>
              <w:rPr>
                <w:rFonts w:hint="eastAsia" w:ascii="黑体" w:hAnsi="黑体" w:eastAsia="黑体" w:cs="黑体"/>
                <w:kern w:val="0"/>
                <w:sz w:val="20"/>
              </w:rPr>
              <w:br w:type="textWrapping"/>
            </w:r>
            <w:r>
              <w:rPr>
                <w:rFonts w:hint="eastAsia" w:ascii="黑体" w:hAnsi="黑体" w:eastAsia="黑体" w:cs="黑体"/>
                <w:kern w:val="0"/>
                <w:sz w:val="20"/>
              </w:rPr>
              <w:t>（试剂）要求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有配套一次性耗材（试剂）（□开放 ■封闭）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企业承诺</w:t>
            </w:r>
          </w:p>
        </w:tc>
      </w:tr>
      <w:tr>
        <w:tblPrEx>
          <w:tblCellMar>
            <w:top w:w="0" w:type="dxa"/>
            <w:left w:w="108" w:type="dxa"/>
            <w:bottom w:w="0" w:type="dxa"/>
            <w:right w:w="108" w:type="dxa"/>
          </w:tblCellMar>
        </w:tblPrEx>
        <w:trPr>
          <w:trHeight w:val="9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lang w:eastAsia="zh-CN"/>
              </w:rPr>
            </w:pPr>
            <w:r>
              <w:rPr>
                <w:rFonts w:hint="eastAsia" w:ascii="黑体" w:hAnsi="宋体" w:eastAsia="黑体" w:cs="黑体"/>
                <w:sz w:val="20"/>
              </w:rPr>
              <w:t>2</w:t>
            </w:r>
            <w:r>
              <w:rPr>
                <w:rFonts w:hint="eastAsia" w:ascii="黑体" w:hAnsi="宋体" w:eastAsia="黑体" w:cs="黑体"/>
                <w:sz w:val="20"/>
                <w:lang w:val="en-US" w:eastAsia="zh-CN"/>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验收标准方法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按照投标文件、采购合同、质量标准等，组织对医疗设备进行质量验收，出具验收报告。</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企业承诺</w:t>
            </w:r>
          </w:p>
        </w:tc>
      </w:tr>
      <w:tr>
        <w:tblPrEx>
          <w:tblCellMar>
            <w:top w:w="0" w:type="dxa"/>
            <w:left w:w="108" w:type="dxa"/>
            <w:bottom w:w="0" w:type="dxa"/>
            <w:right w:w="108" w:type="dxa"/>
          </w:tblCellMar>
        </w:tblPrEx>
        <w:trPr>
          <w:trHeight w:val="500"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经济要求</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合同签订后3个月内交货，交付地点由甲方指定。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签订合同,物资到货（服务完成）验收合格后付95%。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CellMar>
            <w:top w:w="0" w:type="dxa"/>
            <w:left w:w="108" w:type="dxa"/>
            <w:bottom w:w="0" w:type="dxa"/>
            <w:right w:w="108" w:type="dxa"/>
          </w:tblCellMar>
        </w:tblPrEx>
        <w:trPr>
          <w:trHeight w:val="454"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质量保证金</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验收合格后满3年无质量问题支付剩余5%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CellMar>
            <w:top w:w="0" w:type="dxa"/>
            <w:left w:w="108" w:type="dxa"/>
            <w:bottom w:w="0" w:type="dxa"/>
            <w:right w:w="108" w:type="dxa"/>
          </w:tblCellMar>
        </w:tblPrEx>
        <w:trPr>
          <w:trHeight w:val="454"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产品包装和运输要求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保证所供设备是经过出厂检验的全新，合格产品。承诺对所供设备满足国家有关质量技术标准及相关法律、法规的要求；并附有产品质量合格证、说明书、保修卡。</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CellMar>
            <w:top w:w="0" w:type="dxa"/>
            <w:left w:w="108" w:type="dxa"/>
            <w:bottom w:w="0" w:type="dxa"/>
            <w:right w:w="108" w:type="dxa"/>
          </w:tblCellMar>
        </w:tblPrEx>
        <w:trPr>
          <w:trHeight w:val="454"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售后服务1</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提供≥3年质保（设备安装验收后起算）。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原厂授权/企业承诺</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售后服务2</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提供不少于10人次、5天的工程师维修培训。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售后服务3</w:t>
            </w:r>
            <w:r>
              <w:rPr>
                <w:rFonts w:hint="eastAsia" w:ascii="黑体" w:hAnsi="黑体" w:eastAsia="黑体" w:cs="黑体"/>
                <w:kern w:val="0"/>
                <w:sz w:val="20"/>
              </w:rPr>
              <w:br w:type="textWrapping"/>
            </w:r>
            <w:r>
              <w:rPr>
                <w:rFonts w:hint="eastAsia" w:ascii="黑体" w:hAnsi="黑体" w:eastAsia="黑体" w:cs="黑体"/>
                <w:kern w:val="0"/>
                <w:sz w:val="20"/>
              </w:rPr>
              <w:t>（响应时间）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响应时间：保修期间，对于所供设备故障问题，承诺2小时内问题响应，24小时内做出实质响应。</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售后服务4</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保修范围：在保修期内，因机器自身质量原因导致的故障，提供免费维修和配件更换，但不包含仪器故障下的一次性试剂耗材的更换。</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售后服务5</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售后团队：服务人员接受厂家的专业培训，通过相应的服务资质考核，具备过硬的业务技能和丰富的实践经验。厂家在北京等地设有工程师驻地。</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售后服务6</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备件中心：厂家设有备件中心，备件供应及时、充足。</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售后服务7</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收费服务：至少提供按小时计费和按故障点计费两种方式，用户可自行选择。</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售后服务8</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widowControl/>
              <w:spacing w:line="240" w:lineRule="exact"/>
              <w:jc w:val="left"/>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技术服务：</w:t>
            </w:r>
          </w:p>
          <w:p>
            <w:pPr>
              <w:widowControl/>
              <w:spacing w:line="240" w:lineRule="exact"/>
              <w:jc w:val="left"/>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1，提供远距离和现场服务支持，</w:t>
            </w:r>
          </w:p>
          <w:p>
            <w:pPr>
              <w:widowControl/>
              <w:spacing w:line="240" w:lineRule="exact"/>
              <w:jc w:val="left"/>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2，到场支持：当通过电子邮件或电话技术咨询仍无法解决用户设备故障问题时，用户可通过书面申请形式向厂家预约现场支持，厂家应在确定的预约通知的【3个工作日】内安排技术人员抵达客户场地进行现场技术支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售后服务9</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其他服务：提供定期回访，为用户设备提供诊断、保养和升级等建议。</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专用工具</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专用工具和资料：提供设备配套的维修专用工具（如有），资料（操作手册、维修手册等）。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Theme="minorEastAsia" w:hAnsiTheme="minorEastAsia" w:eastAsiaTheme="minorEastAsia" w:cstheme="minorEastAsia"/>
                <w:kern w:val="0"/>
                <w:sz w:val="20"/>
              </w:rPr>
            </w:pPr>
            <w:r>
              <w:rPr>
                <w:rFonts w:hint="eastAsia" w:asciiTheme="minorEastAsia" w:hAnsiTheme="minorEastAsia" w:eastAsiaTheme="minorEastAsia" w:cstheme="minorEastAsia"/>
                <w:kern w:val="0"/>
                <w:sz w:val="20"/>
              </w:rPr>
              <w:t>企业承诺</w:t>
            </w:r>
          </w:p>
        </w:tc>
      </w:tr>
      <w:tr>
        <w:tblPrEx>
          <w:tblCellMar>
            <w:top w:w="0" w:type="dxa"/>
            <w:left w:w="108" w:type="dxa"/>
            <w:bottom w:w="0" w:type="dxa"/>
            <w:right w:w="108" w:type="dxa"/>
          </w:tblCellMar>
        </w:tblPrEx>
        <w:trPr>
          <w:trHeight w:val="500"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物资编目编码、打码贴签要求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tcPr>
          <w:p>
            <w:pPr>
              <w:pStyle w:val="14"/>
              <w:ind w:firstLine="0" w:firstLineChars="0"/>
              <w:rPr>
                <w:rFonts w:asciiTheme="minorEastAsia" w:hAnsiTheme="minorEastAsia" w:cstheme="minorEastAsia"/>
                <w:kern w:val="0"/>
                <w:sz w:val="20"/>
                <w:szCs w:val="20"/>
              </w:rPr>
            </w:pPr>
            <w:r>
              <w:rPr>
                <w:rFonts w:hint="eastAsia" w:asciiTheme="minorEastAsia" w:hAnsiTheme="minorEastAsia" w:cstheme="minorEastAsia"/>
                <w:kern w:val="0"/>
                <w:sz w:val="20"/>
                <w:szCs w:val="20"/>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vAlign w:val="center"/>
          </w:tcPr>
          <w:p>
            <w:pPr>
              <w:rPr>
                <w:rFonts w:asciiTheme="minorEastAsia" w:hAnsiTheme="minorEastAsia" w:eastAsiaTheme="minorEastAsia" w:cstheme="minorEastAsia"/>
                <w:kern w:val="0"/>
                <w:sz w:val="20"/>
              </w:rPr>
            </w:pPr>
            <w:r>
              <w:rPr>
                <w:rFonts w:hint="eastAsia" w:asciiTheme="minorEastAsia" w:hAnsiTheme="minorEastAsia" w:eastAsiaTheme="minorEastAsia" w:cstheme="minorEastAsia"/>
                <w:szCs w:val="21"/>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pStyle w:val="14"/>
              <w:ind w:firstLine="0" w:firstLineChars="0"/>
              <w:rPr>
                <w:rFonts w:asciiTheme="minorEastAsia" w:hAnsiTheme="minorEastAsia" w:cstheme="minorEastAsia"/>
                <w:kern w:val="0"/>
                <w:sz w:val="20"/>
                <w:szCs w:val="20"/>
              </w:rPr>
            </w:pPr>
            <w:r>
              <w:rPr>
                <w:rFonts w:hint="eastAsia" w:asciiTheme="minorEastAsia" w:hAnsiTheme="minorEastAsia" w:cstheme="minorEastAsia"/>
                <w:kern w:val="0"/>
                <w:sz w:val="20"/>
                <w:szCs w:val="20"/>
              </w:rPr>
              <w:t>企业承诺</w:t>
            </w:r>
          </w:p>
        </w:tc>
      </w:tr>
      <w:tr>
        <w:tblPrEx>
          <w:tblCellMar>
            <w:top w:w="0" w:type="dxa"/>
            <w:left w:w="108" w:type="dxa"/>
            <w:bottom w:w="0" w:type="dxa"/>
            <w:right w:w="108" w:type="dxa"/>
          </w:tblCellMar>
        </w:tblPrEx>
        <w:trPr>
          <w:trHeight w:val="500"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采购实施建议</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采购方式</w:t>
            </w:r>
          </w:p>
        </w:tc>
        <w:tc>
          <w:tcPr>
            <w:tcW w:w="7170"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sym w:font="Wingdings 2" w:char="00A3"/>
            </w:r>
            <w:r>
              <w:rPr>
                <w:rFonts w:hint="eastAsia" w:ascii="黑体" w:hAnsi="宋体" w:eastAsia="黑体" w:cs="黑体"/>
                <w:kern w:val="0"/>
                <w:sz w:val="20"/>
              </w:rPr>
              <w:t xml:space="preserve">公开招标    □邀请招标    </w:t>
            </w:r>
            <w:r>
              <w:rPr>
                <w:rFonts w:hint="eastAsia" w:ascii="黑体" w:hAnsi="宋体" w:eastAsia="黑体" w:cs="黑体"/>
                <w:kern w:val="0"/>
                <w:sz w:val="20"/>
              </w:rPr>
              <w:sym w:font="Wingdings 2" w:char="0052"/>
            </w:r>
            <w:r>
              <w:rPr>
                <w:rFonts w:hint="eastAsia" w:ascii="黑体" w:hAnsi="宋体" w:eastAsia="黑体" w:cs="黑体"/>
                <w:kern w:val="0"/>
                <w:sz w:val="20"/>
              </w:rPr>
              <w:t>竞争性谈判    □单一来源     □询价</w:t>
            </w:r>
          </w:p>
        </w:tc>
      </w:tr>
      <w:tr>
        <w:tblPrEx>
          <w:tblCellMar>
            <w:top w:w="0" w:type="dxa"/>
            <w:left w:w="108" w:type="dxa"/>
            <w:bottom w:w="0" w:type="dxa"/>
            <w:right w:w="108" w:type="dxa"/>
          </w:tblCellMar>
        </w:tblPrEx>
        <w:trPr>
          <w:trHeight w:val="499" w:hRule="atLeast"/>
          <w:jc w:val="center"/>
        </w:trPr>
        <w:tc>
          <w:tcPr>
            <w:tcW w:w="501" w:type="dxa"/>
            <w:tcBorders>
              <w:top w:val="single" w:color="000000" w:sz="4" w:space="0"/>
              <w:left w:val="single" w:color="000000" w:sz="4" w:space="0"/>
              <w:bottom w:val="single" w:color="auto"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2</w:t>
            </w:r>
          </w:p>
        </w:tc>
        <w:tc>
          <w:tcPr>
            <w:tcW w:w="1389"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评审方法</w:t>
            </w:r>
          </w:p>
        </w:tc>
        <w:tc>
          <w:tcPr>
            <w:tcW w:w="7170" w:type="dxa"/>
            <w:gridSpan w:val="7"/>
            <w:tcBorders>
              <w:top w:val="single" w:color="000000" w:sz="4" w:space="0"/>
              <w:left w:val="single" w:color="000000" w:sz="4" w:space="0"/>
              <w:bottom w:val="single" w:color="auto"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sym w:font="Wingdings 2" w:char="0052"/>
            </w:r>
            <w:r>
              <w:rPr>
                <w:rFonts w:hint="eastAsia" w:ascii="黑体" w:hAnsi="宋体" w:eastAsia="黑体" w:cs="黑体"/>
                <w:kern w:val="0"/>
                <w:sz w:val="20"/>
              </w:rPr>
              <w:t>综合评分法      □质量优先法      □经评审的最低价法</w:t>
            </w:r>
          </w:p>
        </w:tc>
      </w:tr>
      <w:tr>
        <w:tblPrEx>
          <w:tblCellMar>
            <w:top w:w="0" w:type="dxa"/>
            <w:left w:w="108" w:type="dxa"/>
            <w:bottom w:w="0" w:type="dxa"/>
            <w:right w:w="108" w:type="dxa"/>
          </w:tblCellMar>
        </w:tblPrEx>
        <w:trPr>
          <w:trHeight w:val="499" w:hRule="atLeast"/>
          <w:jc w:val="center"/>
        </w:trPr>
        <w:tc>
          <w:tcPr>
            <w:tcW w:w="5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3</w:t>
            </w:r>
          </w:p>
        </w:tc>
        <w:tc>
          <w:tcPr>
            <w:tcW w:w="13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技术偏离要求</w:t>
            </w:r>
          </w:p>
        </w:tc>
        <w:tc>
          <w:tcPr>
            <w:tcW w:w="717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ascii="黑体" w:hAnsi="黑体" w:eastAsia="黑体" w:cs="黑体"/>
                <w:kern w:val="0"/>
                <w:sz w:val="20"/>
              </w:rPr>
            </w:pPr>
            <w:r>
              <w:rPr>
                <w:rFonts w:hint="eastAsia" w:ascii="黑体" w:hAnsi="黑体" w:eastAsia="黑体" w:cs="黑体"/>
                <w:kern w:val="0"/>
                <w:sz w:val="20"/>
              </w:rPr>
              <w:t>▲标识的指标负偏离≥5项，投标企业技术分值为0分</w:t>
            </w:r>
          </w:p>
          <w:p>
            <w:pPr>
              <w:widowControl/>
              <w:spacing w:line="240" w:lineRule="exact"/>
              <w:jc w:val="left"/>
              <w:rPr>
                <w:rFonts w:ascii="黑体" w:hAnsi="黑体" w:eastAsia="黑体" w:cs="黑体"/>
                <w:kern w:val="0"/>
                <w:sz w:val="20"/>
              </w:rPr>
            </w:pPr>
            <w:r>
              <w:rPr>
                <w:rFonts w:hint="eastAsia" w:ascii="黑体" w:hAnsi="黑体" w:eastAsia="黑体" w:cs="黑体"/>
                <w:kern w:val="0"/>
                <w:sz w:val="20"/>
              </w:rPr>
              <w:t>▲标识的指标和“无标识”指标负偏离≥10项，投标企业技术分值为0分</w:t>
            </w:r>
          </w:p>
        </w:tc>
      </w:tr>
      <w:tr>
        <w:tblPrEx>
          <w:tblCellMar>
            <w:top w:w="0" w:type="dxa"/>
            <w:left w:w="108" w:type="dxa"/>
            <w:bottom w:w="0" w:type="dxa"/>
            <w:right w:w="108" w:type="dxa"/>
          </w:tblCellMar>
        </w:tblPrEx>
        <w:trPr>
          <w:trHeight w:val="3750"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beforeLines="20" w:line="300" w:lineRule="exact"/>
              <w:jc w:val="left"/>
              <w:textAlignment w:val="center"/>
              <w:rPr>
                <w:rFonts w:ascii="宋体" w:hAnsi="宋体" w:cs="宋体"/>
                <w:kern w:val="0"/>
                <w:sz w:val="18"/>
                <w:szCs w:val="18"/>
              </w:rPr>
            </w:pPr>
            <w:r>
              <w:rPr>
                <w:rFonts w:hint="eastAsia" w:ascii="宋体" w:hAnsi="宋体" w:cs="宋体"/>
                <w:kern w:val="0"/>
                <w:sz w:val="18"/>
                <w:szCs w:val="18"/>
              </w:rPr>
              <w:t>注：1.采购单位编制采购需求时填写此表；</w:t>
            </w:r>
          </w:p>
          <w:p>
            <w:pPr>
              <w:widowControl/>
              <w:spacing w:line="300" w:lineRule="exact"/>
              <w:ind w:left="60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2.经济要求和技术要求应当客观，需逐条明确“是否量化”，量化指标应当明确相应等次，</w:t>
            </w:r>
          </w:p>
          <w:p>
            <w:pPr>
              <w:widowControl/>
              <w:spacing w:line="300" w:lineRule="exact"/>
              <w:ind w:left="60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有连续区间的按照区间划分等次；</w:t>
            </w:r>
          </w:p>
          <w:p>
            <w:pPr>
              <w:widowControl/>
              <w:spacing w:line="300" w:lineRule="exact"/>
              <w:ind w:left="60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3.采购单位根据项目实际情况及各项指标的重要程度，在序号列逐条进行标识（标识包含：</w:t>
            </w:r>
          </w:p>
          <w:p>
            <w:pPr>
              <w:widowControl/>
              <w:spacing w:line="300" w:lineRule="exact"/>
              <w:ind w:left="60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“★”、“▲”或“无标识”）。采购评审时★、▲号或无标识指标的重要程度逐级递减，</w:t>
            </w:r>
          </w:p>
          <w:p>
            <w:pPr>
              <w:widowControl/>
              <w:spacing w:line="300" w:lineRule="exact"/>
              <w:ind w:left="60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评审赋分逐级减少，★指标为必须响应指标，任意一项不满足要求即做废标处理；</w:t>
            </w:r>
          </w:p>
          <w:p>
            <w:pPr>
              <w:widowControl/>
              <w:spacing w:line="300" w:lineRule="exact"/>
              <w:ind w:left="60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4.★及▲标识的指标，采购单位要逐条明确证明材料，无法明确的默认由企业提供承诺；</w:t>
            </w:r>
          </w:p>
          <w:p>
            <w:pPr>
              <w:widowControl/>
              <w:spacing w:line="300" w:lineRule="exact"/>
              <w:ind w:left="60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5.“需求名称”前标记※号的为选填项，如无需求可删除此行；</w:t>
            </w:r>
          </w:p>
          <w:p>
            <w:pPr>
              <w:widowControl/>
              <w:spacing w:line="300" w:lineRule="exact"/>
              <w:ind w:left="60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6.需求内容只能为一条指标，不允许出现多个小标题；</w:t>
            </w:r>
          </w:p>
          <w:p>
            <w:pPr>
              <w:widowControl/>
              <w:spacing w:line="300" w:lineRule="exact"/>
              <w:ind w:left="600" w:leftChars="200" w:hanging="180" w:hangingChars="100"/>
              <w:jc w:val="left"/>
              <w:textAlignment w:val="center"/>
              <w:rPr>
                <w:rFonts w:ascii="宋体" w:hAnsi="宋体" w:cs="宋体"/>
                <w:kern w:val="0"/>
                <w:sz w:val="18"/>
                <w:szCs w:val="18"/>
              </w:rPr>
            </w:pPr>
            <w:r>
              <w:rPr>
                <w:rFonts w:hint="eastAsia" w:ascii="宋体" w:hAnsi="宋体" w:cs="宋体"/>
                <w:kern w:val="0"/>
                <w:sz w:val="18"/>
                <w:szCs w:val="18"/>
              </w:rPr>
              <w:t>7.经济要求不接受企业负偏离；</w:t>
            </w:r>
          </w:p>
          <w:p>
            <w:pPr>
              <w:widowControl/>
              <w:spacing w:afterLines="20" w:line="300" w:lineRule="exact"/>
              <w:ind w:left="420" w:leftChars="200"/>
              <w:jc w:val="left"/>
              <w:textAlignment w:val="center"/>
              <w:rPr>
                <w:rFonts w:ascii="宋体" w:hAnsi="宋体" w:cs="宋体"/>
                <w:sz w:val="22"/>
                <w:szCs w:val="22"/>
              </w:rPr>
            </w:pPr>
            <w:r>
              <w:rPr>
                <w:rFonts w:hint="eastAsia" w:ascii="宋体" w:hAnsi="宋体" w:cs="宋体"/>
                <w:kern w:val="0"/>
                <w:sz w:val="18"/>
                <w:szCs w:val="18"/>
              </w:rPr>
              <w:t>8.斜体为辅助编制需求内容，可根据项目实际情况描写。</w:t>
            </w:r>
          </w:p>
        </w:tc>
      </w:tr>
    </w:tbl>
    <w:p>
      <w:pP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br w:type="page"/>
      </w:r>
    </w:p>
    <w:p>
      <w:pPr>
        <w:pStyle w:val="4"/>
        <w:spacing w:beforeLines="50" w:afterLines="50" w:line="572" w:lineRule="exact"/>
        <w:ind w:firstLine="0" w:firstLineChars="0"/>
        <w:jc w:val="center"/>
        <w:rPr>
          <w:rFonts w:ascii="黑体" w:hAnsi="黑体" w:eastAsia="黑体" w:cs="黑体"/>
          <w:i/>
          <w:iCs/>
          <w:kern w:val="0"/>
          <w:sz w:val="28"/>
          <w:szCs w:val="28"/>
        </w:rPr>
      </w:pPr>
      <w:r>
        <w:rPr>
          <w:rFonts w:hint="eastAsia" w:ascii="方正小标宋简体" w:hAnsi="方正小标宋简体" w:eastAsia="方正小标宋简体" w:cs="方正小标宋简体"/>
          <w:kern w:val="0"/>
          <w:sz w:val="44"/>
          <w:szCs w:val="44"/>
        </w:rPr>
        <w:t>封闭耗材（试剂）用量测算表</w:t>
      </w:r>
    </w:p>
    <w:tbl>
      <w:tblPr>
        <w:tblStyle w:val="7"/>
        <w:tblW w:w="9060" w:type="dxa"/>
        <w:tblInd w:w="0" w:type="dxa"/>
        <w:tblLayout w:type="fixed"/>
        <w:tblCellMar>
          <w:top w:w="0" w:type="dxa"/>
          <w:left w:w="108" w:type="dxa"/>
          <w:bottom w:w="0" w:type="dxa"/>
          <w:right w:w="108" w:type="dxa"/>
        </w:tblCellMar>
      </w:tblPr>
      <w:tblGrid>
        <w:gridCol w:w="1101"/>
        <w:gridCol w:w="2329"/>
        <w:gridCol w:w="1373"/>
        <w:gridCol w:w="1093"/>
        <w:gridCol w:w="1227"/>
        <w:gridCol w:w="1143"/>
        <w:gridCol w:w="794"/>
      </w:tblGrid>
      <w:tr>
        <w:tblPrEx>
          <w:tblCellMar>
            <w:top w:w="0" w:type="dxa"/>
            <w:left w:w="108" w:type="dxa"/>
            <w:bottom w:w="0" w:type="dxa"/>
            <w:right w:w="108" w:type="dxa"/>
          </w:tblCellMar>
        </w:tblPrEx>
        <w:trPr>
          <w:trHeight w:val="500" w:hRule="atLeast"/>
        </w:trPr>
        <w:tc>
          <w:tcPr>
            <w:tcW w:w="9060" w:type="dxa"/>
            <w:gridSpan w:val="7"/>
            <w:tcBorders>
              <w:top w:val="nil"/>
              <w:left w:val="nil"/>
              <w:bottom w:val="nil"/>
              <w:right w:val="nil"/>
            </w:tcBorders>
            <w:noWrap/>
            <w:vAlign w:val="center"/>
          </w:tcPr>
          <w:p>
            <w:pPr>
              <w:widowControl/>
              <w:spacing w:line="360" w:lineRule="exact"/>
              <w:jc w:val="left"/>
              <w:textAlignment w:val="center"/>
              <w:rPr>
                <w:rFonts w:ascii="宋体" w:hAnsi="宋体" w:cs="宋体"/>
              </w:rPr>
            </w:pPr>
          </w:p>
        </w:tc>
      </w:tr>
      <w:tr>
        <w:tblPrEx>
          <w:tblCellMar>
            <w:top w:w="0" w:type="dxa"/>
            <w:left w:w="108" w:type="dxa"/>
            <w:bottom w:w="0" w:type="dxa"/>
            <w:right w:w="108" w:type="dxa"/>
          </w:tblCellMar>
        </w:tblPrEx>
        <w:trPr>
          <w:trHeight w:val="629"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3702"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黑体" w:hAnsi="宋体" w:eastAsia="黑体" w:cs="黑体"/>
                <w:sz w:val="20"/>
              </w:rPr>
            </w:pPr>
            <w:r>
              <w:rPr>
                <w:rFonts w:hint="eastAsia" w:ascii="黑体" w:hAnsi="宋体" w:eastAsia="黑体" w:cs="黑体"/>
                <w:sz w:val="20"/>
              </w:rPr>
              <w:t>便携式二代测序仪</w:t>
            </w:r>
          </w:p>
        </w:tc>
        <w:tc>
          <w:tcPr>
            <w:tcW w:w="109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黑体" w:hAnsi="宋体" w:eastAsia="黑体" w:cs="黑体"/>
                <w:sz w:val="20"/>
              </w:rPr>
            </w:pPr>
            <w:r>
              <w:rPr>
                <w:rFonts w:hint="eastAsia" w:ascii="黑体" w:hAnsi="宋体" w:eastAsia="黑体" w:cs="黑体"/>
                <w:kern w:val="0"/>
                <w:sz w:val="20"/>
              </w:rPr>
              <w:t>采购计划编号</w:t>
            </w:r>
          </w:p>
        </w:tc>
        <w:tc>
          <w:tcPr>
            <w:tcW w:w="3164"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hint="eastAsia" w:ascii="黑体" w:hAnsi="宋体" w:eastAsia="黑体" w:cs="黑体"/>
                <w:sz w:val="20"/>
                <w:lang w:eastAsia="zh-CN"/>
              </w:rPr>
            </w:pPr>
            <w:r>
              <w:rPr>
                <w:rFonts w:hint="eastAsia" w:ascii="黑体" w:hAnsi="宋体" w:eastAsia="黑体" w:cs="黑体"/>
                <w:sz w:val="20"/>
                <w:lang w:val="en-US" w:eastAsia="zh-CN"/>
              </w:rPr>
              <w:t xml:space="preserve"> </w:t>
            </w:r>
          </w:p>
        </w:tc>
      </w:tr>
      <w:tr>
        <w:tblPrEx>
          <w:tblCellMar>
            <w:top w:w="0" w:type="dxa"/>
            <w:left w:w="108" w:type="dxa"/>
            <w:bottom w:w="0" w:type="dxa"/>
            <w:right w:w="108" w:type="dxa"/>
          </w:tblCellMar>
        </w:tblPrEx>
        <w:trPr>
          <w:trHeight w:val="567"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黑体" w:hAnsi="宋体" w:eastAsia="黑体" w:cs="黑体"/>
                <w:kern w:val="0"/>
                <w:sz w:val="20"/>
              </w:rPr>
            </w:pPr>
            <w:r>
              <w:rPr>
                <w:rFonts w:hint="eastAsia" w:ascii="黑体" w:hAnsi="宋体" w:eastAsia="黑体" w:cs="黑体"/>
                <w:kern w:val="0"/>
                <w:sz w:val="20"/>
              </w:rPr>
              <w:t>封闭耗材（试剂）</w:t>
            </w:r>
          </w:p>
          <w:p>
            <w:pPr>
              <w:widowControl/>
              <w:spacing w:line="300" w:lineRule="exact"/>
              <w:jc w:val="center"/>
              <w:textAlignment w:val="center"/>
              <w:rPr>
                <w:rFonts w:ascii="黑体" w:hAnsi="宋体" w:eastAsia="黑体" w:cs="黑体"/>
                <w:kern w:val="0"/>
                <w:sz w:val="20"/>
              </w:rPr>
            </w:pPr>
            <w:r>
              <w:rPr>
                <w:rFonts w:hint="eastAsia" w:ascii="黑体" w:hAnsi="宋体" w:eastAsia="黑体" w:cs="黑体"/>
                <w:kern w:val="0"/>
                <w:sz w:val="20"/>
              </w:rPr>
              <w:t>描述</w:t>
            </w:r>
          </w:p>
        </w:tc>
        <w:tc>
          <w:tcPr>
            <w:tcW w:w="7959" w:type="dxa"/>
            <w:gridSpan w:val="6"/>
            <w:tcBorders>
              <w:top w:val="single" w:color="000000" w:sz="4" w:space="0"/>
              <w:left w:val="single" w:color="000000" w:sz="4" w:space="0"/>
              <w:bottom w:val="nil"/>
              <w:right w:val="single" w:color="000000" w:sz="4" w:space="0"/>
            </w:tcBorders>
            <w:noWrap/>
            <w:vAlign w:val="center"/>
          </w:tcPr>
          <w:p>
            <w:pPr>
              <w:widowControl/>
              <w:spacing w:line="300" w:lineRule="exact"/>
              <w:jc w:val="center"/>
              <w:textAlignment w:val="center"/>
              <w:rPr>
                <w:rFonts w:ascii="黑体" w:hAnsi="宋体" w:eastAsia="黑体" w:cs="黑体"/>
                <w:kern w:val="0"/>
                <w:sz w:val="20"/>
              </w:rPr>
            </w:pPr>
            <w:r>
              <w:rPr>
                <w:rFonts w:hint="eastAsia" w:ascii="宋体" w:hAnsi="宋体" w:cs="宋体"/>
                <w:iCs/>
                <w:kern w:val="0"/>
                <w:sz w:val="20"/>
              </w:rPr>
              <w:t>耗材（试剂）与设备为同一品牌或耗材（试剂）为设备生产企业指定的唯一代工品牌。</w:t>
            </w:r>
          </w:p>
        </w:tc>
      </w:tr>
      <w:tr>
        <w:tblPrEx>
          <w:tblCellMar>
            <w:top w:w="0" w:type="dxa"/>
            <w:left w:w="108" w:type="dxa"/>
            <w:bottom w:w="0" w:type="dxa"/>
            <w:right w:w="108" w:type="dxa"/>
          </w:tblCellMar>
        </w:tblPrEx>
        <w:trPr>
          <w:trHeight w:val="595"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2329" w:type="dxa"/>
            <w:tcBorders>
              <w:top w:val="single" w:color="000000" w:sz="4" w:space="0"/>
              <w:left w:val="single" w:color="000000" w:sz="4" w:space="0"/>
              <w:bottom w:val="nil"/>
              <w:right w:val="single" w:color="000000" w:sz="4" w:space="0"/>
            </w:tcBorders>
            <w:noWrap/>
            <w:vAlign w:val="center"/>
          </w:tcPr>
          <w:p>
            <w:pPr>
              <w:widowControl/>
              <w:spacing w:line="300" w:lineRule="exact"/>
              <w:jc w:val="center"/>
              <w:textAlignment w:val="center"/>
              <w:rPr>
                <w:rFonts w:ascii="黑体" w:hAnsi="宋体" w:eastAsia="黑体" w:cs="黑体"/>
                <w:sz w:val="20"/>
              </w:rPr>
            </w:pPr>
            <w:r>
              <w:rPr>
                <w:rFonts w:hint="eastAsia" w:ascii="黑体" w:hAnsi="宋体" w:eastAsia="黑体" w:cs="黑体"/>
                <w:kern w:val="0"/>
                <w:sz w:val="20"/>
              </w:rPr>
              <w:t>耗材（开展项目）名称</w:t>
            </w:r>
          </w:p>
        </w:tc>
        <w:tc>
          <w:tcPr>
            <w:tcW w:w="137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黑体" w:hAnsi="宋体" w:eastAsia="黑体" w:cs="黑体"/>
                <w:sz w:val="20"/>
              </w:rPr>
            </w:pPr>
            <w:r>
              <w:rPr>
                <w:rFonts w:hint="eastAsia" w:ascii="黑体" w:hAnsi="宋体" w:eastAsia="黑体" w:cs="黑体"/>
                <w:kern w:val="0"/>
                <w:sz w:val="20"/>
              </w:rPr>
              <w:t>※规格</w:t>
            </w:r>
          </w:p>
        </w:tc>
        <w:tc>
          <w:tcPr>
            <w:tcW w:w="1093" w:type="dxa"/>
            <w:tcBorders>
              <w:top w:val="single" w:color="000000" w:sz="4" w:space="0"/>
              <w:left w:val="single" w:color="000000" w:sz="4" w:space="0"/>
              <w:bottom w:val="nil"/>
              <w:right w:val="single" w:color="000000" w:sz="4" w:space="0"/>
            </w:tcBorders>
            <w:noWrap/>
            <w:vAlign w:val="center"/>
          </w:tcPr>
          <w:p>
            <w:pPr>
              <w:widowControl/>
              <w:spacing w:line="300" w:lineRule="exact"/>
              <w:jc w:val="center"/>
              <w:textAlignment w:val="center"/>
              <w:rPr>
                <w:rFonts w:ascii="黑体" w:hAnsi="宋体" w:eastAsia="黑体" w:cs="黑体"/>
                <w:sz w:val="20"/>
              </w:rPr>
            </w:pPr>
            <w:r>
              <w:rPr>
                <w:rFonts w:hint="eastAsia" w:ascii="黑体" w:hAnsi="宋体" w:eastAsia="黑体" w:cs="黑体"/>
                <w:kern w:val="0"/>
                <w:sz w:val="20"/>
              </w:rPr>
              <w:t>预估2年用量</w:t>
            </w:r>
          </w:p>
        </w:tc>
        <w:tc>
          <w:tcPr>
            <w:tcW w:w="1227" w:type="dxa"/>
            <w:tcBorders>
              <w:top w:val="single" w:color="000000" w:sz="4" w:space="0"/>
              <w:left w:val="single" w:color="000000" w:sz="4" w:space="0"/>
              <w:bottom w:val="nil"/>
              <w:right w:val="single" w:color="000000" w:sz="4" w:space="0"/>
            </w:tcBorders>
            <w:noWrap/>
            <w:vAlign w:val="center"/>
          </w:tcPr>
          <w:p>
            <w:pPr>
              <w:widowControl/>
              <w:spacing w:line="300" w:lineRule="exact"/>
              <w:jc w:val="center"/>
              <w:textAlignment w:val="center"/>
              <w:rPr>
                <w:rFonts w:ascii="黑体" w:hAnsi="宋体" w:eastAsia="黑体" w:cs="黑体"/>
                <w:sz w:val="20"/>
              </w:rPr>
            </w:pPr>
            <w:r>
              <w:rPr>
                <w:rFonts w:hint="eastAsia" w:ascii="黑体" w:hAnsi="宋体" w:eastAsia="黑体" w:cs="黑体"/>
                <w:kern w:val="0"/>
                <w:sz w:val="20"/>
              </w:rPr>
              <w:t>计量单位</w:t>
            </w:r>
          </w:p>
        </w:tc>
        <w:tc>
          <w:tcPr>
            <w:tcW w:w="1143" w:type="dxa"/>
            <w:tcBorders>
              <w:top w:val="single" w:color="000000" w:sz="4" w:space="0"/>
              <w:left w:val="single" w:color="000000" w:sz="4" w:space="0"/>
              <w:bottom w:val="nil"/>
              <w:right w:val="single" w:color="000000" w:sz="4" w:space="0"/>
            </w:tcBorders>
            <w:noWrap/>
            <w:vAlign w:val="center"/>
          </w:tcPr>
          <w:p>
            <w:pPr>
              <w:widowControl/>
              <w:spacing w:line="30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794"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textAlignment w:val="center"/>
              <w:rPr>
                <w:rFonts w:ascii="黑体" w:hAnsi="宋体" w:eastAsia="黑体" w:cs="黑体"/>
                <w:sz w:val="20"/>
              </w:rPr>
            </w:pPr>
            <w:r>
              <w:rPr>
                <w:rFonts w:hint="eastAsia" w:ascii="黑体" w:hAnsi="宋体" w:eastAsia="黑体" w:cs="黑体"/>
                <w:kern w:val="0"/>
                <w:sz w:val="20"/>
              </w:rPr>
              <w:t>备注</w:t>
            </w:r>
          </w:p>
        </w:tc>
      </w:tr>
      <w:tr>
        <w:tblPrEx>
          <w:tblCellMar>
            <w:top w:w="0" w:type="dxa"/>
            <w:left w:w="108" w:type="dxa"/>
            <w:bottom w:w="0" w:type="dxa"/>
            <w:right w:w="108" w:type="dxa"/>
          </w:tblCellMar>
        </w:tblPrEx>
        <w:trPr>
          <w:trHeight w:val="567"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黑体" w:hAnsi="宋体" w:eastAsia="黑体" w:cs="黑体"/>
                <w:sz w:val="20"/>
              </w:rPr>
            </w:pPr>
            <w:r>
              <w:rPr>
                <w:rFonts w:hint="eastAsia" w:ascii="黑体" w:hAnsi="宋体" w:eastAsia="黑体" w:cs="黑体"/>
                <w:sz w:val="20"/>
              </w:rPr>
              <w:t>1</w:t>
            </w:r>
          </w:p>
        </w:tc>
        <w:tc>
          <w:tcPr>
            <w:tcW w:w="232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r>
              <w:rPr>
                <w:rFonts w:hint="eastAsia" w:ascii="宋体" w:hAnsi="宋体" w:cs="宋体"/>
                <w:sz w:val="20"/>
              </w:rPr>
              <w:t>测序试剂</w:t>
            </w:r>
          </w:p>
        </w:tc>
        <w:tc>
          <w:tcPr>
            <w:tcW w:w="137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Cs/>
                <w:sz w:val="20"/>
              </w:rPr>
            </w:pPr>
          </w:p>
        </w:tc>
        <w:tc>
          <w:tcPr>
            <w:tcW w:w="109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Cs/>
                <w:sz w:val="20"/>
              </w:rPr>
            </w:pPr>
            <w:r>
              <w:rPr>
                <w:rFonts w:hint="eastAsia" w:ascii="宋体" w:hAnsi="宋体" w:cs="宋体"/>
                <w:bCs/>
                <w:sz w:val="20"/>
              </w:rPr>
              <w:t>800人份</w:t>
            </w:r>
          </w:p>
        </w:tc>
        <w:tc>
          <w:tcPr>
            <w:tcW w:w="122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Cs/>
                <w:sz w:val="20"/>
              </w:rPr>
            </w:pPr>
            <w:r>
              <w:rPr>
                <w:rFonts w:hint="eastAsia" w:ascii="宋体" w:hAnsi="宋体" w:cs="宋体"/>
                <w:bCs/>
                <w:sz w:val="20"/>
              </w:rPr>
              <w:t>人份</w:t>
            </w:r>
          </w:p>
        </w:tc>
        <w:tc>
          <w:tcPr>
            <w:tcW w:w="114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Cs/>
                <w:sz w:val="20"/>
              </w:rPr>
            </w:pPr>
            <w:r>
              <w:rPr>
                <w:rFonts w:hint="eastAsia" w:ascii="宋体" w:hAnsi="宋体" w:cs="宋体"/>
                <w:bCs/>
                <w:sz w:val="20"/>
              </w:rPr>
              <w:t>0.1万元/人份</w:t>
            </w:r>
          </w:p>
        </w:tc>
        <w:tc>
          <w:tcPr>
            <w:tcW w:w="794"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rPr>
                <w:rFonts w:ascii="宋体" w:hAnsi="宋体" w:cs="宋体"/>
                <w:b/>
                <w:bCs/>
                <w:sz w:val="20"/>
              </w:rPr>
            </w:pPr>
          </w:p>
        </w:tc>
      </w:tr>
      <w:tr>
        <w:tblPrEx>
          <w:tblCellMar>
            <w:top w:w="0" w:type="dxa"/>
            <w:left w:w="108" w:type="dxa"/>
            <w:bottom w:w="0" w:type="dxa"/>
            <w:right w:w="108" w:type="dxa"/>
          </w:tblCellMar>
        </w:tblPrEx>
        <w:trPr>
          <w:trHeight w:val="567"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黑体" w:hAnsi="宋体" w:eastAsia="黑体" w:cs="黑体"/>
                <w:sz w:val="20"/>
              </w:rPr>
            </w:pPr>
          </w:p>
        </w:tc>
        <w:tc>
          <w:tcPr>
            <w:tcW w:w="232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137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09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22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14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794"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rPr>
                <w:rFonts w:ascii="宋体" w:hAnsi="宋体" w:cs="宋体"/>
                <w:b/>
                <w:bCs/>
                <w:sz w:val="20"/>
              </w:rPr>
            </w:pPr>
          </w:p>
        </w:tc>
      </w:tr>
      <w:tr>
        <w:tblPrEx>
          <w:tblCellMar>
            <w:top w:w="0" w:type="dxa"/>
            <w:left w:w="108" w:type="dxa"/>
            <w:bottom w:w="0" w:type="dxa"/>
            <w:right w:w="108" w:type="dxa"/>
          </w:tblCellMar>
        </w:tblPrEx>
        <w:trPr>
          <w:trHeight w:val="567"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黑体" w:hAnsi="宋体" w:eastAsia="黑体" w:cs="黑体"/>
                <w:sz w:val="20"/>
              </w:rPr>
            </w:pPr>
          </w:p>
        </w:tc>
        <w:tc>
          <w:tcPr>
            <w:tcW w:w="232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137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09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22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14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794"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rPr>
                <w:rFonts w:ascii="宋体" w:hAnsi="宋体" w:cs="宋体"/>
                <w:b/>
                <w:bCs/>
                <w:sz w:val="20"/>
              </w:rPr>
            </w:pPr>
          </w:p>
        </w:tc>
      </w:tr>
      <w:tr>
        <w:tblPrEx>
          <w:tblCellMar>
            <w:top w:w="0" w:type="dxa"/>
            <w:left w:w="108" w:type="dxa"/>
            <w:bottom w:w="0" w:type="dxa"/>
            <w:right w:w="108" w:type="dxa"/>
          </w:tblCellMar>
        </w:tblPrEx>
        <w:trPr>
          <w:trHeight w:val="567"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黑体" w:hAnsi="宋体" w:eastAsia="黑体" w:cs="黑体"/>
                <w:sz w:val="20"/>
              </w:rPr>
            </w:pPr>
          </w:p>
        </w:tc>
        <w:tc>
          <w:tcPr>
            <w:tcW w:w="232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137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09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22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14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794"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rPr>
                <w:rFonts w:ascii="宋体" w:hAnsi="宋体" w:cs="宋体"/>
                <w:b/>
                <w:bCs/>
                <w:sz w:val="20"/>
              </w:rPr>
            </w:pPr>
          </w:p>
        </w:tc>
      </w:tr>
      <w:tr>
        <w:tblPrEx>
          <w:tblCellMar>
            <w:top w:w="0" w:type="dxa"/>
            <w:left w:w="108" w:type="dxa"/>
            <w:bottom w:w="0" w:type="dxa"/>
            <w:right w:w="108" w:type="dxa"/>
          </w:tblCellMar>
        </w:tblPrEx>
        <w:trPr>
          <w:trHeight w:val="567"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黑体" w:hAnsi="宋体" w:eastAsia="黑体" w:cs="黑体"/>
                <w:sz w:val="20"/>
              </w:rPr>
            </w:pPr>
          </w:p>
        </w:tc>
        <w:tc>
          <w:tcPr>
            <w:tcW w:w="232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137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09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22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14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794"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rPr>
                <w:rFonts w:ascii="宋体" w:hAnsi="宋体" w:cs="宋体"/>
                <w:b/>
                <w:bCs/>
                <w:sz w:val="20"/>
              </w:rPr>
            </w:pPr>
          </w:p>
        </w:tc>
      </w:tr>
      <w:tr>
        <w:tblPrEx>
          <w:tblCellMar>
            <w:top w:w="0" w:type="dxa"/>
            <w:left w:w="108" w:type="dxa"/>
            <w:bottom w:w="0" w:type="dxa"/>
            <w:right w:w="108" w:type="dxa"/>
          </w:tblCellMar>
        </w:tblPrEx>
        <w:trPr>
          <w:trHeight w:val="567"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黑体" w:hAnsi="宋体" w:eastAsia="黑体" w:cs="黑体"/>
                <w:sz w:val="20"/>
              </w:rPr>
            </w:pPr>
          </w:p>
        </w:tc>
        <w:tc>
          <w:tcPr>
            <w:tcW w:w="232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137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09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22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114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b/>
                <w:bCs/>
                <w:sz w:val="20"/>
              </w:rPr>
            </w:pPr>
          </w:p>
        </w:tc>
        <w:tc>
          <w:tcPr>
            <w:tcW w:w="794"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rPr>
                <w:rFonts w:ascii="宋体" w:hAnsi="宋体" w:cs="宋体"/>
                <w:b/>
                <w:bCs/>
                <w:sz w:val="20"/>
              </w:rPr>
            </w:pPr>
          </w:p>
        </w:tc>
      </w:tr>
      <w:tr>
        <w:tblPrEx>
          <w:tblCellMar>
            <w:top w:w="0" w:type="dxa"/>
            <w:left w:w="108" w:type="dxa"/>
            <w:bottom w:w="0" w:type="dxa"/>
            <w:right w:w="108" w:type="dxa"/>
          </w:tblCellMar>
        </w:tblPrEx>
        <w:trPr>
          <w:trHeight w:val="567" w:hRule="atLeast"/>
        </w:trPr>
        <w:tc>
          <w:tcPr>
            <w:tcW w:w="1101"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2329"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rPr>
                <w:rFonts w:ascii="宋体" w:hAnsi="宋体" w:cs="宋体"/>
                <w:sz w:val="20"/>
              </w:rPr>
            </w:pPr>
          </w:p>
        </w:tc>
        <w:tc>
          <w:tcPr>
            <w:tcW w:w="137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109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1227"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1143"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center"/>
              <w:rPr>
                <w:rFonts w:ascii="宋体" w:hAnsi="宋体" w:cs="宋体"/>
                <w:sz w:val="20"/>
              </w:rPr>
            </w:pPr>
          </w:p>
        </w:tc>
        <w:tc>
          <w:tcPr>
            <w:tcW w:w="794" w:type="dxa"/>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rPr>
                <w:rFonts w:ascii="宋体" w:hAnsi="宋体" w:cs="宋体"/>
                <w:sz w:val="20"/>
              </w:rPr>
            </w:pPr>
          </w:p>
        </w:tc>
      </w:tr>
      <w:tr>
        <w:tblPrEx>
          <w:tblCellMar>
            <w:top w:w="0" w:type="dxa"/>
            <w:left w:w="108" w:type="dxa"/>
            <w:bottom w:w="0" w:type="dxa"/>
            <w:right w:w="108" w:type="dxa"/>
          </w:tblCellMar>
        </w:tblPrEx>
        <w:trPr>
          <w:trHeight w:val="1827" w:hRule="atLeast"/>
        </w:trPr>
        <w:tc>
          <w:tcPr>
            <w:tcW w:w="9060" w:type="dxa"/>
            <w:gridSpan w:val="7"/>
            <w:tcBorders>
              <w:top w:val="single" w:color="000000" w:sz="4" w:space="0"/>
              <w:left w:val="single" w:color="000000" w:sz="4" w:space="0"/>
              <w:bottom w:val="single" w:color="000000" w:sz="4" w:space="0"/>
              <w:right w:val="single" w:color="000000" w:sz="4" w:space="0"/>
            </w:tcBorders>
            <w:noWrap/>
            <w:vAlign w:val="center"/>
          </w:tcPr>
          <w:p>
            <w:pPr>
              <w:widowControl/>
              <w:spacing w:line="300" w:lineRule="exact"/>
              <w:jc w:val="left"/>
              <w:textAlignment w:val="center"/>
              <w:rPr>
                <w:rFonts w:ascii="宋体" w:hAnsi="宋体" w:cs="宋体"/>
                <w:sz w:val="18"/>
                <w:szCs w:val="18"/>
              </w:rPr>
            </w:pPr>
            <w:r>
              <w:rPr>
                <w:rFonts w:hint="eastAsia" w:ascii="宋体" w:hAnsi="宋体" w:cs="宋体"/>
                <w:sz w:val="18"/>
                <w:szCs w:val="18"/>
              </w:rPr>
              <w:t>注：1.封闭耗材（试剂）需填写此表，开放耗材（试剂）无需填写；</w:t>
            </w:r>
          </w:p>
          <w:p>
            <w:pPr>
              <w:widowControl/>
              <w:spacing w:line="300" w:lineRule="exact"/>
              <w:ind w:left="420" w:leftChars="200"/>
              <w:jc w:val="left"/>
              <w:textAlignment w:val="center"/>
              <w:rPr>
                <w:rFonts w:ascii="宋体" w:hAnsi="宋体" w:cs="宋体"/>
                <w:sz w:val="18"/>
                <w:szCs w:val="18"/>
              </w:rPr>
            </w:pPr>
            <w:r>
              <w:rPr>
                <w:rFonts w:hint="eastAsia" w:ascii="宋体" w:hAnsi="宋体" w:cs="宋体"/>
                <w:sz w:val="18"/>
                <w:szCs w:val="18"/>
              </w:rPr>
              <w:t>2.如为耗材，需求部门必须提供耗材规格，如为试剂应填写开展项目名称，无需填写规格；</w:t>
            </w:r>
          </w:p>
          <w:p>
            <w:pPr>
              <w:widowControl/>
              <w:spacing w:line="300" w:lineRule="exact"/>
              <w:ind w:left="420" w:leftChars="200"/>
              <w:jc w:val="left"/>
              <w:textAlignment w:val="center"/>
              <w:rPr>
                <w:rFonts w:ascii="宋体" w:hAnsi="宋体" w:cs="宋体"/>
                <w:sz w:val="18"/>
                <w:szCs w:val="18"/>
              </w:rPr>
            </w:pPr>
            <w:r>
              <w:rPr>
                <w:rFonts w:hint="eastAsia" w:ascii="宋体" w:hAnsi="宋体" w:cs="宋体"/>
                <w:sz w:val="18"/>
                <w:szCs w:val="18"/>
              </w:rPr>
              <w:t>3.预估2年用量为开展业务所需耗材（开展项目）的测算量，与设备购置数量无关；</w:t>
            </w:r>
          </w:p>
          <w:p>
            <w:pPr>
              <w:widowControl/>
              <w:spacing w:line="300" w:lineRule="exact"/>
              <w:ind w:left="420" w:leftChars="200"/>
              <w:jc w:val="left"/>
              <w:textAlignment w:val="center"/>
              <w:rPr>
                <w:rFonts w:ascii="宋体" w:hAnsi="宋体" w:cs="宋体"/>
                <w:sz w:val="18"/>
                <w:szCs w:val="18"/>
              </w:rPr>
            </w:pPr>
            <w:r>
              <w:rPr>
                <w:rFonts w:hint="eastAsia" w:ascii="宋体" w:hAnsi="宋体" w:cs="宋体"/>
                <w:sz w:val="18"/>
                <w:szCs w:val="18"/>
              </w:rPr>
              <w:t>4.计量单位为最小使用单位；</w:t>
            </w:r>
          </w:p>
          <w:p>
            <w:pPr>
              <w:widowControl/>
              <w:spacing w:afterLines="20" w:line="300" w:lineRule="exact"/>
              <w:ind w:left="420" w:leftChars="200"/>
              <w:jc w:val="left"/>
              <w:textAlignment w:val="center"/>
            </w:pPr>
            <w:r>
              <w:rPr>
                <w:rFonts w:hint="eastAsia" w:ascii="宋体" w:hAnsi="宋体" w:cs="宋体"/>
                <w:sz w:val="18"/>
                <w:szCs w:val="18"/>
              </w:rPr>
              <w:t>5.最高限价为采购单位预估2年用量与意向品牌平均单价的乘积。</w:t>
            </w:r>
          </w:p>
        </w:tc>
      </w:tr>
    </w:tbl>
    <w:p/>
    <w:p>
      <w:pPr>
        <w:overflowPunct w:val="0"/>
        <w:spacing w:beforeLines="50" w:afterLines="50" w:line="572" w:lineRule="exact"/>
      </w:pPr>
      <w:bookmarkStart w:id="0" w:name="_GoBack"/>
      <w:bookmarkEnd w:id="0"/>
    </w:p>
    <w:sectPr>
      <w:footerReference r:id="rId4" w:type="first"/>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宋体" w:hAnsi="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A326D"/>
    <w:rsid w:val="000076CF"/>
    <w:rsid w:val="00264D8D"/>
    <w:rsid w:val="00280938"/>
    <w:rsid w:val="00290DCC"/>
    <w:rsid w:val="003C32FB"/>
    <w:rsid w:val="00431BD6"/>
    <w:rsid w:val="00451825"/>
    <w:rsid w:val="00475439"/>
    <w:rsid w:val="00483136"/>
    <w:rsid w:val="004D3ABD"/>
    <w:rsid w:val="00521E62"/>
    <w:rsid w:val="005E1AEB"/>
    <w:rsid w:val="005E218D"/>
    <w:rsid w:val="005F586D"/>
    <w:rsid w:val="00740B82"/>
    <w:rsid w:val="008D416B"/>
    <w:rsid w:val="008D67C3"/>
    <w:rsid w:val="0092267D"/>
    <w:rsid w:val="009E334A"/>
    <w:rsid w:val="009F6AA9"/>
    <w:rsid w:val="00A822C7"/>
    <w:rsid w:val="00B314DB"/>
    <w:rsid w:val="00B80F60"/>
    <w:rsid w:val="00C357A6"/>
    <w:rsid w:val="00C368A1"/>
    <w:rsid w:val="00C41101"/>
    <w:rsid w:val="00C46C67"/>
    <w:rsid w:val="00C579BD"/>
    <w:rsid w:val="00D23A18"/>
    <w:rsid w:val="00D35805"/>
    <w:rsid w:val="00D64796"/>
    <w:rsid w:val="00DE7D50"/>
    <w:rsid w:val="00E35829"/>
    <w:rsid w:val="00EA326D"/>
    <w:rsid w:val="00F6737A"/>
    <w:rsid w:val="00FC2E74"/>
    <w:rsid w:val="07AC4789"/>
    <w:rsid w:val="0E152BA2"/>
    <w:rsid w:val="1157480E"/>
    <w:rsid w:val="13453C48"/>
    <w:rsid w:val="16B70589"/>
    <w:rsid w:val="1759447A"/>
    <w:rsid w:val="1CC6231D"/>
    <w:rsid w:val="1D2E1738"/>
    <w:rsid w:val="1D7A3306"/>
    <w:rsid w:val="1E467B55"/>
    <w:rsid w:val="1F6C46B1"/>
    <w:rsid w:val="1FC85C2B"/>
    <w:rsid w:val="200E395A"/>
    <w:rsid w:val="22731036"/>
    <w:rsid w:val="23612B21"/>
    <w:rsid w:val="2408650A"/>
    <w:rsid w:val="274360AD"/>
    <w:rsid w:val="27A252DA"/>
    <w:rsid w:val="27C2108C"/>
    <w:rsid w:val="298A3BB9"/>
    <w:rsid w:val="2A0E72B4"/>
    <w:rsid w:val="2BC56F96"/>
    <w:rsid w:val="31C5729B"/>
    <w:rsid w:val="36DA5A3C"/>
    <w:rsid w:val="375A5C6A"/>
    <w:rsid w:val="392A4D1F"/>
    <w:rsid w:val="3B945B12"/>
    <w:rsid w:val="3BAD30F1"/>
    <w:rsid w:val="3EBC7A76"/>
    <w:rsid w:val="3F9952EC"/>
    <w:rsid w:val="412E12D6"/>
    <w:rsid w:val="42025093"/>
    <w:rsid w:val="49024BCA"/>
    <w:rsid w:val="4ACB251F"/>
    <w:rsid w:val="4E2D1A15"/>
    <w:rsid w:val="4FD32B64"/>
    <w:rsid w:val="518E0975"/>
    <w:rsid w:val="52420186"/>
    <w:rsid w:val="596E6732"/>
    <w:rsid w:val="5BA803D9"/>
    <w:rsid w:val="5D2B13AC"/>
    <w:rsid w:val="60C82468"/>
    <w:rsid w:val="69C26645"/>
    <w:rsid w:val="6A606624"/>
    <w:rsid w:val="6C951B59"/>
    <w:rsid w:val="6DD4015D"/>
    <w:rsid w:val="723C6781"/>
    <w:rsid w:val="7460725E"/>
    <w:rsid w:val="77605524"/>
    <w:rsid w:val="790864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Body Text"/>
    <w:basedOn w:val="1"/>
    <w:next w:val="4"/>
    <w:link w:val="9"/>
    <w:qFormat/>
    <w:uiPriority w:val="0"/>
    <w:pPr>
      <w:spacing w:after="120"/>
    </w:pPr>
  </w:style>
  <w:style w:type="paragraph" w:styleId="4">
    <w:name w:val="Body Text Indent"/>
    <w:basedOn w:val="1"/>
    <w:link w:val="10"/>
    <w:qFormat/>
    <w:uiPriority w:val="0"/>
    <w:pPr>
      <w:spacing w:line="400" w:lineRule="exact"/>
      <w:ind w:firstLine="600" w:firstLineChars="200"/>
    </w:pPr>
    <w:rPr>
      <w:rFonts w:ascii="仿宋_GB2312" w:eastAsia="仿宋_GB2312"/>
      <w:sz w:val="30"/>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正文文本 Char"/>
    <w:basedOn w:val="8"/>
    <w:link w:val="3"/>
    <w:qFormat/>
    <w:uiPriority w:val="0"/>
    <w:rPr>
      <w:rFonts w:ascii="Times New Roman" w:hAnsi="Times New Roman" w:eastAsia="宋体" w:cs="Times New Roman"/>
      <w:szCs w:val="20"/>
    </w:rPr>
  </w:style>
  <w:style w:type="character" w:customStyle="1" w:styleId="10">
    <w:name w:val="正文文本缩进 Char"/>
    <w:basedOn w:val="8"/>
    <w:link w:val="4"/>
    <w:qFormat/>
    <w:uiPriority w:val="0"/>
    <w:rPr>
      <w:rFonts w:ascii="仿宋_GB2312" w:hAnsi="Times New Roman" w:eastAsia="仿宋_GB2312" w:cs="Times New Roman"/>
      <w:sz w:val="30"/>
      <w:szCs w:val="20"/>
    </w:rPr>
  </w:style>
  <w:style w:type="character" w:customStyle="1" w:styleId="11">
    <w:name w:val="页脚 Char"/>
    <w:basedOn w:val="8"/>
    <w:link w:val="5"/>
    <w:qFormat/>
    <w:uiPriority w:val="99"/>
    <w:rPr>
      <w:rFonts w:ascii="Times New Roman" w:hAnsi="Times New Roman" w:eastAsia="宋体" w:cs="Times New Roman"/>
      <w:sz w:val="18"/>
      <w:szCs w:val="18"/>
    </w:rPr>
  </w:style>
  <w:style w:type="character" w:customStyle="1" w:styleId="12">
    <w:name w:val="font111"/>
    <w:basedOn w:val="8"/>
    <w:qFormat/>
    <w:uiPriority w:val="0"/>
    <w:rPr>
      <w:rFonts w:hint="eastAsia" w:ascii="黑体" w:hAnsi="宋体" w:eastAsia="黑体" w:cs="黑体"/>
      <w:i/>
      <w:iCs/>
      <w:color w:val="000000"/>
      <w:sz w:val="20"/>
      <w:szCs w:val="20"/>
      <w:u w:val="none"/>
    </w:rPr>
  </w:style>
  <w:style w:type="character" w:customStyle="1" w:styleId="13">
    <w:name w:val="页眉 Char"/>
    <w:basedOn w:val="8"/>
    <w:link w:val="6"/>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PLA</Company>
  <Pages>5</Pages>
  <Words>500</Words>
  <Characters>2850</Characters>
  <Lines>23</Lines>
  <Paragraphs>6</Paragraphs>
  <TotalTime>1</TotalTime>
  <ScaleCrop>false</ScaleCrop>
  <LinksUpToDate>false</LinksUpToDate>
  <CharactersWithSpaces>3344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2024-03-27T06:25:00Z</dcterms:created>
  <dc:creator>Administrator</dc:creator>
  <cp:lastModifiedBy>zhangyingying</cp:lastModifiedBy>
  <cp:lastPrinted>2024-05-11T01:20:00Z</cp:lastPrinted>
  <dcterms:modified xsi:type="dcterms:W3CDTF">2024-06-19T01:02:41Z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