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采购需求表（服务类）</w:t>
      </w:r>
    </w:p>
    <w:tbl>
      <w:tblPr>
        <w:tblStyle w:val="7"/>
        <w:tblW w:w="9060" w:type="dxa"/>
        <w:tblInd w:w="0" w:type="dxa"/>
        <w:tblLayout w:type="fixed"/>
        <w:tblCellMar>
          <w:top w:w="0" w:type="dxa"/>
          <w:left w:w="108" w:type="dxa"/>
          <w:bottom w:w="0" w:type="dxa"/>
          <w:right w:w="108" w:type="dxa"/>
        </w:tblCellMar>
      </w:tblPr>
      <w:tblGrid>
        <w:gridCol w:w="501"/>
        <w:gridCol w:w="669"/>
        <w:gridCol w:w="720"/>
        <w:gridCol w:w="720"/>
        <w:gridCol w:w="75"/>
        <w:gridCol w:w="3210"/>
        <w:gridCol w:w="1208"/>
        <w:gridCol w:w="727"/>
        <w:gridCol w:w="1230"/>
      </w:tblGrid>
      <w:tr>
        <w:tblPrEx>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项目名称</w:t>
            </w:r>
          </w:p>
        </w:tc>
        <w:tc>
          <w:tcPr>
            <w:tcW w:w="4725"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黑体" w:eastAsia="黑体" w:cs="黑体"/>
                <w:sz w:val="20"/>
                <w:szCs w:val="20"/>
              </w:rPr>
            </w:pPr>
            <w:r>
              <w:rPr>
                <w:rFonts w:hint="eastAsia" w:ascii="黑体" w:hAnsi="黑体" w:eastAsia="黑体"/>
                <w:sz w:val="20"/>
                <w:szCs w:val="20"/>
              </w:rPr>
              <w:t xml:space="preserve">医用电子直线加速器保修 瓦里安 </w:t>
            </w:r>
            <w:r>
              <w:rPr>
                <w:rFonts w:ascii="黑体" w:hAnsi="黑体" w:eastAsia="黑体"/>
                <w:sz w:val="20"/>
                <w:szCs w:val="20"/>
              </w:rPr>
              <w:t xml:space="preserve">CLINAC </w:t>
            </w:r>
            <w:r>
              <w:rPr>
                <w:rFonts w:hint="eastAsia" w:ascii="黑体" w:hAnsi="黑体" w:eastAsia="黑体"/>
                <w:sz w:val="20"/>
                <w:szCs w:val="20"/>
              </w:rPr>
              <w:t>ix</w:t>
            </w:r>
            <w:r>
              <w:rPr>
                <w:rFonts w:ascii="黑体" w:hAnsi="黑体" w:eastAsia="黑体"/>
                <w:sz w:val="20"/>
                <w:szCs w:val="20"/>
              </w:rPr>
              <w:t xml:space="preserve"> 1</w:t>
            </w:r>
            <w:r>
              <w:rPr>
                <w:rFonts w:hint="eastAsia" w:ascii="黑体" w:hAnsi="黑体" w:eastAsia="黑体"/>
                <w:sz w:val="20"/>
                <w:szCs w:val="20"/>
              </w:rPr>
              <w:t>台 全保</w:t>
            </w:r>
          </w:p>
        </w:tc>
        <w:tc>
          <w:tcPr>
            <w:tcW w:w="120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szCs w:val="20"/>
              </w:rPr>
            </w:pPr>
            <w:r>
              <w:rPr>
                <w:rFonts w:hint="eastAsia" w:ascii="黑体" w:hAnsi="宋体" w:eastAsia="黑体" w:cs="黑体"/>
                <w:sz w:val="20"/>
                <w:szCs w:val="20"/>
              </w:rPr>
              <w:t>96</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序号</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参数</w:t>
            </w:r>
          </w:p>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性质</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需求具体内容</w:t>
            </w:r>
          </w:p>
        </w:tc>
        <w:tc>
          <w:tcPr>
            <w:tcW w:w="727"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是否</w:t>
            </w:r>
            <w:r>
              <w:rPr>
                <w:rFonts w:hint="eastAsia" w:ascii="黑体" w:hAnsi="宋体" w:eastAsia="黑体" w:cs="黑体"/>
                <w:kern w:val="0"/>
                <w:sz w:val="20"/>
                <w:szCs w:val="20"/>
              </w:rPr>
              <w:br w:type="textWrapping"/>
            </w:r>
            <w:r>
              <w:rPr>
                <w:rFonts w:hint="eastAsia" w:ascii="黑体" w:hAnsi="宋体" w:eastAsia="黑体" w:cs="黑体"/>
                <w:kern w:val="0"/>
                <w:sz w:val="20"/>
                <w:szCs w:val="20"/>
              </w:rPr>
              <w:t>量化</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备注（证明材料等其他要求）</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技术要求</w:t>
            </w:r>
          </w:p>
        </w:tc>
      </w:tr>
      <w:tr>
        <w:tblPrEx>
          <w:tblCellMar>
            <w:top w:w="0" w:type="dxa"/>
            <w:left w:w="108" w:type="dxa"/>
            <w:bottom w:w="0" w:type="dxa"/>
            <w:right w:w="108" w:type="dxa"/>
          </w:tblCellMar>
        </w:tblPrEx>
        <w:trPr>
          <w:trHeight w:val="105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基本要求</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rPr>
            </w:pPr>
            <w:r>
              <w:rPr>
                <w:rFonts w:hint="eastAsia" w:ascii="黑体" w:hAnsi="宋体" w:eastAsia="黑体" w:cs="黑体"/>
                <w:iCs/>
                <w:sz w:val="20"/>
                <w:szCs w:val="20"/>
              </w:rPr>
              <w:t>全保服务，涵盖加速器整机、机头系统、控制系统、治疗床系统、以及配套网络系统软硬件、治疗计划系统软硬件等，合同期内不再收取任何维保费用，服务期3年。</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81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服务能力</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rPr>
            </w:pPr>
            <w:r>
              <w:rPr>
                <w:rFonts w:hint="eastAsia" w:ascii="黑体" w:hAnsi="宋体" w:eastAsia="黑体" w:cs="黑体"/>
                <w:iCs/>
                <w:sz w:val="20"/>
                <w:szCs w:val="20"/>
              </w:rPr>
              <w:t>投标人保证设备全年开机率≥95%，按一年365天计算，即全年累计停机时间≤18天。若超出上述承诺停机天数，超出一天顺延10天保修。</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846"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技术实力</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rPr>
            </w:pPr>
            <w:r>
              <w:rPr>
                <w:rFonts w:hint="eastAsia" w:ascii="黑体" w:hAnsi="宋体" w:eastAsia="黑体" w:cs="黑体"/>
                <w:iCs/>
                <w:sz w:val="20"/>
                <w:szCs w:val="20"/>
              </w:rPr>
              <w:t>投标人在北京市内设有长期稳定的服务机构≥2年，配备全职专业维修工程师≥2名，并提供经原厂认证的有效期内资质证明文件。</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相关证明材料</w:t>
            </w:r>
          </w:p>
        </w:tc>
      </w:tr>
      <w:tr>
        <w:tblPrEx>
          <w:tblCellMar>
            <w:top w:w="0" w:type="dxa"/>
            <w:left w:w="108" w:type="dxa"/>
            <w:bottom w:w="0" w:type="dxa"/>
            <w:right w:w="108" w:type="dxa"/>
          </w:tblCellMar>
        </w:tblPrEx>
        <w:trPr>
          <w:trHeight w:val="80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备件供应</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rPr>
            </w:pPr>
            <w:r>
              <w:rPr>
                <w:rFonts w:hint="eastAsia" w:ascii="黑体" w:hAnsi="宋体" w:eastAsia="黑体" w:cs="黑体"/>
                <w:iCs/>
                <w:sz w:val="20"/>
                <w:szCs w:val="20"/>
              </w:rPr>
              <w:t>所有更换配件必须和本台设备同型号、同规格，符合设备厂家参数的全新合格零部件，满足设备运行要求，且确保100%供应。</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相关证明材料</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备件保障</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kern w:val="0"/>
                <w:sz w:val="20"/>
                <w:szCs w:val="20"/>
              </w:rPr>
            </w:pPr>
            <w:r>
              <w:rPr>
                <w:rFonts w:hint="eastAsia" w:ascii="黑体" w:hAnsi="宋体" w:eastAsia="黑体" w:cs="黑体"/>
                <w:iCs/>
                <w:kern w:val="0"/>
                <w:sz w:val="20"/>
                <w:szCs w:val="20"/>
              </w:rPr>
              <w:t>所更换的耐用零配件，保修期≥6个月（自更换后保修不少于6个月，与维保服务结束无关），保修期内如再次故障，应免费维修或更换。；更换的易损件，保修期≥3个月（自更换后保修不少于3个月，与维保服务结束无关），保修期内如再次故障，应免费维修或更换。</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保养服务</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rPr>
            </w:pPr>
            <w:r>
              <w:rPr>
                <w:rFonts w:hint="eastAsia" w:ascii="黑体" w:hAnsi="宋体" w:eastAsia="黑体" w:cs="黑体"/>
                <w:iCs/>
                <w:kern w:val="0"/>
                <w:sz w:val="20"/>
                <w:szCs w:val="20"/>
              </w:rPr>
              <w:t>每年至少提供4次以上的定期保养服务，包括设备安全检查、设备除尘保养、运行状态检查、及仪器各个组件的校准等。</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7</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响应时间</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黑体" w:hAnsi="宋体" w:eastAsia="黑体" w:cs="黑体"/>
                <w:i/>
                <w:iCs/>
                <w:sz w:val="20"/>
                <w:szCs w:val="20"/>
                <w:lang w:val="en-US" w:eastAsia="zh-CN"/>
              </w:rPr>
            </w:pPr>
            <w:r>
              <w:rPr>
                <w:rFonts w:hint="eastAsia" w:ascii="黑体" w:hAnsi="宋体" w:eastAsia="黑体" w:cs="黑体"/>
                <w:iCs/>
                <w:kern w:val="0"/>
                <w:sz w:val="20"/>
                <w:szCs w:val="20"/>
              </w:rPr>
              <w:t>投标人须提供7天×24小时的保修服务，及时派遣工程师进行电话指导或赴现场维修，且在接到报修电话后，响应时间≤</w:t>
            </w:r>
            <w:r>
              <w:rPr>
                <w:rFonts w:hint="eastAsia" w:ascii="黑体" w:hAnsi="宋体" w:eastAsia="黑体" w:cs="黑体"/>
                <w:iCs/>
                <w:kern w:val="0"/>
                <w:sz w:val="20"/>
                <w:szCs w:val="20"/>
                <w:lang w:val="en-US" w:eastAsia="zh-CN"/>
              </w:rPr>
              <w:t>1</w:t>
            </w:r>
            <w:r>
              <w:rPr>
                <w:rFonts w:hint="eastAsia" w:ascii="黑体" w:hAnsi="宋体" w:eastAsia="黑体" w:cs="黑体"/>
                <w:iCs/>
                <w:kern w:val="0"/>
                <w:sz w:val="20"/>
                <w:szCs w:val="20"/>
              </w:rPr>
              <w:t>小时</w:t>
            </w:r>
            <w:r>
              <w:rPr>
                <w:rFonts w:hint="eastAsia" w:ascii="黑体" w:hAnsi="宋体" w:eastAsia="黑体" w:cs="黑体"/>
                <w:iCs/>
                <w:kern w:val="0"/>
                <w:sz w:val="20"/>
                <w:szCs w:val="20"/>
                <w:lang w:eastAsia="zh-CN"/>
              </w:rPr>
              <w:t>，到场时间≤</w:t>
            </w:r>
            <w:r>
              <w:rPr>
                <w:rFonts w:hint="eastAsia" w:ascii="黑体" w:hAnsi="宋体" w:eastAsia="黑体" w:cs="黑体"/>
                <w:iCs/>
                <w:kern w:val="0"/>
                <w:sz w:val="20"/>
                <w:szCs w:val="20"/>
                <w:lang w:val="en-US" w:eastAsia="zh-CN"/>
              </w:rPr>
              <w:t>4小时。</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8</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备件支持</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rPr>
            </w:pPr>
            <w:r>
              <w:rPr>
                <w:rFonts w:hint="eastAsia" w:ascii="黑体" w:hAnsi="宋体" w:eastAsia="黑体" w:cs="黑体"/>
                <w:iCs/>
                <w:kern w:val="0"/>
                <w:sz w:val="20"/>
                <w:szCs w:val="20"/>
              </w:rPr>
              <w:t>在有备件支持的情况下，一般故障维修时间≤4小时；重大故障维修时间≤24小时；暂无备件支持情况下，故障维修时间≤72小时，即投标人应在72小时内将备件运送到现场并修复设备；提供突发性问题的解决措施及特殊紧急的合理化处理措施；所需更换配件24小时内发货</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9</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软件更新</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rPr>
            </w:pPr>
            <w:r>
              <w:rPr>
                <w:rFonts w:hint="eastAsia" w:ascii="黑体" w:hAnsi="宋体" w:eastAsia="黑体" w:cs="黑体"/>
                <w:iCs/>
                <w:kern w:val="0"/>
                <w:sz w:val="20"/>
                <w:szCs w:val="20"/>
              </w:rPr>
              <w:t>为确保设备治疗安全，在保修服务期内，供应商应免费提供所维保设备制造商对设备的软件安全升级，系统软件升级补丁和技术支持，以提高设备的安全性和性能。</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pStyle w:val="2"/>
              <w:rPr>
                <w:rFonts w:hint="default"/>
                <w:sz w:val="20"/>
                <w:szCs w:val="20"/>
              </w:rPr>
            </w:pPr>
            <w:r>
              <w:rPr>
                <w:sz w:val="20"/>
                <w:szCs w:val="20"/>
              </w:rPr>
              <w:t>10</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保健任务</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rPr>
            </w:pPr>
            <w:r>
              <w:rPr>
                <w:rFonts w:hint="eastAsia" w:ascii="黑体" w:hAnsi="宋体" w:eastAsia="黑体" w:cs="黑体"/>
                <w:iCs/>
                <w:kern w:val="0"/>
                <w:sz w:val="20"/>
                <w:szCs w:val="20"/>
              </w:rPr>
              <w:t>医疗保健任务时，投标公司须按照院方指定要求，无偿派遣工程师赴现场保障，确保设备正常运行。</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pStyle w:val="2"/>
              <w:rPr>
                <w:rFonts w:hint="default"/>
                <w:sz w:val="20"/>
                <w:szCs w:val="20"/>
              </w:rPr>
            </w:pPr>
            <w:r>
              <w:rPr>
                <w:sz w:val="20"/>
                <w:szCs w:val="20"/>
              </w:rPr>
              <w:t>11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风险责任</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rPr>
            </w:pPr>
            <w:r>
              <w:rPr>
                <w:rFonts w:hint="eastAsia" w:ascii="黑体" w:hAnsi="宋体" w:eastAsia="黑体" w:cs="黑体"/>
                <w:iCs/>
                <w:kern w:val="0"/>
                <w:sz w:val="20"/>
                <w:szCs w:val="20"/>
              </w:rPr>
              <w:t>投标人维修、保养、操作等原因给设备和人员带来的伤害所造成的损失由投标人无偿承担。</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12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※仓储实力</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pPr>
            <w:r>
              <w:rPr>
                <w:rFonts w:hint="eastAsia" w:ascii="黑体" w:hAnsi="宋体" w:eastAsia="黑体" w:cs="黑体"/>
                <w:iCs/>
                <w:kern w:val="0"/>
                <w:sz w:val="20"/>
                <w:szCs w:val="20"/>
              </w:rPr>
              <w:t>供应商必需在国内设有专业设备零备件仓库≥2个，且符合以下要求：仓库总面积须≥500平方米，并提供相应的租房合同或房产证明资料。</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13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※保修经验</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Cs/>
                <w:kern w:val="0"/>
                <w:sz w:val="20"/>
                <w:szCs w:val="20"/>
              </w:rPr>
            </w:pPr>
            <w:r>
              <w:rPr>
                <w:rFonts w:hint="eastAsia" w:ascii="黑体" w:hAnsi="宋体" w:eastAsia="黑体" w:cs="黑体"/>
                <w:iCs/>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rPr>
            </w:pPr>
            <w:r>
              <w:rPr>
                <w:rFonts w:hint="eastAsia" w:ascii="黑体" w:hAnsi="宋体" w:eastAsia="黑体" w:cs="黑体"/>
                <w:iCs/>
                <w:kern w:val="0"/>
                <w:sz w:val="20"/>
                <w:szCs w:val="20"/>
              </w:rPr>
              <w:t>供应商具备同品牌的加速器维保经验，用户≥10家，并提供书面证明材料。</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14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0"/>
                <w:szCs w:val="20"/>
              </w:rPr>
            </w:pPr>
            <w:r>
              <w:rPr>
                <w:rFonts w:hint="eastAsia" w:ascii="黑体" w:hAnsi="宋体" w:eastAsia="黑体" w:cs="黑体"/>
                <w:kern w:val="0"/>
                <w:sz w:val="20"/>
                <w:szCs w:val="20"/>
              </w:rPr>
              <w:t>综合实力1</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kern w:val="0"/>
                <w:sz w:val="20"/>
                <w:szCs w:val="20"/>
              </w:rPr>
            </w:pPr>
            <w:r>
              <w:rPr>
                <w:rFonts w:hint="eastAsia" w:ascii="黑体" w:hAnsi="宋体" w:eastAsia="黑体" w:cs="黑体"/>
                <w:iCs/>
                <w:kern w:val="0"/>
                <w:sz w:val="20"/>
                <w:szCs w:val="20"/>
              </w:rPr>
              <w:t>具有有效的质量管理体系（ISO9001或GB/T19001）、环境管理体系（ISO14001或GB/T24001）、职业健康安全管理体系（OHSAS18001或GB/T28001）认证文件。</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15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0"/>
                <w:szCs w:val="20"/>
              </w:rPr>
            </w:pPr>
            <w:r>
              <w:rPr>
                <w:rFonts w:hint="eastAsia" w:ascii="黑体" w:hAnsi="宋体" w:eastAsia="黑体" w:cs="黑体"/>
                <w:kern w:val="0"/>
                <w:sz w:val="20"/>
                <w:szCs w:val="20"/>
              </w:rPr>
              <w:t>综合实力2</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jc w:val="center"/>
              <w:rPr>
                <w:color w:val="FF000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rPr>
                <w:color w:val="FF0000"/>
              </w:rPr>
            </w:pPr>
            <w:r>
              <w:rPr>
                <w:rFonts w:hint="eastAsia" w:ascii="黑体" w:hAnsi="宋体" w:eastAsia="黑体" w:cs="黑体"/>
                <w:iCs/>
                <w:kern w:val="0"/>
                <w:sz w:val="20"/>
                <w:szCs w:val="20"/>
              </w:rPr>
              <w:t>企业为高新技术企业</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16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验收标准方法</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sz w:val="20"/>
                <w:szCs w:val="20"/>
              </w:rPr>
            </w:pPr>
            <w:r>
              <w:rPr>
                <w:rFonts w:hint="eastAsia" w:ascii="黑体" w:hAnsi="宋体" w:eastAsia="黑体" w:cs="黑体"/>
                <w:iCs/>
                <w:kern w:val="0"/>
                <w:sz w:val="20"/>
                <w:szCs w:val="20"/>
              </w:rPr>
              <w:t>确保设备全年开机率≥95%，同时图像质量达到质控标准要求,完成定期保养。</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r>
              <w:rPr>
                <w:rFonts w:hint="eastAsia" w:ascii="黑体" w:hAnsi="宋体" w:eastAsia="黑体" w:cs="黑体"/>
                <w:i w:val="0"/>
                <w:iCs w:val="0"/>
                <w:kern w:val="0"/>
                <w:sz w:val="20"/>
                <w:szCs w:val="20"/>
              </w:rPr>
              <w:t>经济要求</w:t>
            </w:r>
          </w:p>
        </w:tc>
      </w:tr>
      <w:tr>
        <w:tblPrEx>
          <w:tblCellMar>
            <w:top w:w="0" w:type="dxa"/>
            <w:left w:w="108" w:type="dxa"/>
            <w:bottom w:w="0" w:type="dxa"/>
            <w:right w:w="108" w:type="dxa"/>
          </w:tblCellMar>
        </w:tblPrEx>
        <w:trPr>
          <w:trHeight w:val="46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szCs w:val="20"/>
              </w:rPr>
            </w:pPr>
            <w:r>
              <w:rPr>
                <w:rFonts w:hint="eastAsia" w:ascii="黑体" w:hAnsi="黑体" w:eastAsia="黑体" w:cs="黑体"/>
                <w:sz w:val="20"/>
                <w:szCs w:val="20"/>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szCs w:val="20"/>
              </w:rPr>
            </w:pPr>
            <w:r>
              <w:rPr>
                <w:rFonts w:hint="eastAsia" w:ascii="黑体" w:hAnsi="黑体" w:eastAsia="黑体" w:cs="黑体"/>
                <w:kern w:val="0"/>
                <w:sz w:val="20"/>
                <w:szCs w:val="20"/>
              </w:rPr>
              <w:t>交货时间、交货地点</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sz w:val="20"/>
                <w:szCs w:val="20"/>
              </w:rPr>
            </w:pPr>
            <w:r>
              <w:rPr>
                <w:rFonts w:hint="eastAsia" w:ascii="黑体" w:hAnsi="宋体" w:eastAsia="黑体" w:cs="黑体"/>
                <w:iCs/>
                <w:kern w:val="0"/>
                <w:sz w:val="20"/>
                <w:szCs w:val="20"/>
              </w:rPr>
              <w:t>自合同期签定起生效至服务期满止，交付地点由甲方指定。</w:t>
            </w:r>
            <w:bookmarkStart w:id="0" w:name="_GoBack"/>
            <w:bookmarkEnd w:id="0"/>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szCs w:val="20"/>
              </w:rPr>
            </w:pPr>
            <w:r>
              <w:rPr>
                <w:rFonts w:hint="eastAsia" w:ascii="黑体" w:hAnsi="黑体" w:eastAsia="黑体" w:cs="黑体"/>
                <w:sz w:val="20"/>
                <w:szCs w:val="20"/>
              </w:rPr>
              <w:t>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szCs w:val="20"/>
              </w:rPr>
            </w:pPr>
            <w:r>
              <w:rPr>
                <w:rFonts w:hint="eastAsia" w:ascii="黑体" w:hAnsi="黑体" w:eastAsia="黑体" w:cs="黑体"/>
                <w:kern w:val="0"/>
                <w:sz w:val="20"/>
                <w:szCs w:val="20"/>
              </w:rPr>
              <w:t>付款及结算方式</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rPr>
            </w:pPr>
            <w:r>
              <w:rPr>
                <w:rFonts w:hint="eastAsia" w:ascii="黑体" w:hAnsi="宋体" w:eastAsia="黑体" w:cs="黑体"/>
                <w:iCs/>
                <w:kern w:val="0"/>
                <w:sz w:val="20"/>
                <w:szCs w:val="20"/>
              </w:rPr>
              <w:t>合同签订生效满半年后支付当年保修费的50%，满一年后支付当年保修费余下的50%，以此类推。</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黑体" w:eastAsia="黑体" w:cs="黑体"/>
                <w:sz w:val="20"/>
                <w:szCs w:val="20"/>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sz w:val="20"/>
                <w:szCs w:val="20"/>
              </w:rPr>
              <w:t>履约保证金、质量保证金</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kern w:val="0"/>
                <w:sz w:val="20"/>
                <w:szCs w:val="20"/>
              </w:rPr>
            </w:pPr>
            <w:r>
              <w:rPr>
                <w:rFonts w:hint="eastAsia" w:ascii="黑体" w:hAnsi="黑体" w:eastAsia="黑体" w:cs="黑体"/>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Cs/>
                <w:kern w:val="0"/>
                <w:sz w:val="20"/>
                <w:szCs w:val="20"/>
              </w:rPr>
            </w:pPr>
            <w:r>
              <w:rPr>
                <w:rFonts w:hint="eastAsia" w:ascii="黑体" w:hAnsi="黑体" w:eastAsia="黑体" w:cs="黑体"/>
                <w:sz w:val="20"/>
                <w:szCs w:val="20"/>
                <w:lang w:val="en-US" w:eastAsia="zh-CN"/>
              </w:rPr>
              <w:t>/</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kern w:val="0"/>
                <w:sz w:val="20"/>
                <w:szCs w:val="20"/>
              </w:rPr>
            </w:pPr>
            <w:r>
              <w:rPr>
                <w:rFonts w:hint="eastAsia" w:ascii="黑体" w:hAnsi="黑体" w:eastAsia="黑体" w:cs="黑体"/>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kern w:val="0"/>
                <w:sz w:val="20"/>
                <w:szCs w:val="20"/>
              </w:rPr>
            </w:pPr>
            <w:r>
              <w:rPr>
                <w:rFonts w:hint="eastAsia" w:ascii="黑体" w:hAnsi="黑体" w:eastAsia="黑体" w:cs="黑体"/>
                <w:sz w:val="20"/>
                <w:szCs w:val="20"/>
              </w:rPr>
              <w:t>企业承诺</w:t>
            </w:r>
          </w:p>
        </w:tc>
      </w:tr>
      <w:tr>
        <w:tblPrEx>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黑体" w:eastAsia="黑体" w:cs="黑体"/>
                <w:sz w:val="20"/>
                <w:szCs w:val="20"/>
                <w:lang w:eastAsia="zh-CN"/>
              </w:rPr>
            </w:pPr>
            <w:r>
              <w:rPr>
                <w:rFonts w:hint="eastAsia" w:ascii="黑体" w:hAnsi="黑体" w:eastAsia="黑体" w:cs="黑体"/>
                <w:sz w:val="20"/>
                <w:szCs w:val="20"/>
                <w:lang w:val="en-US" w:eastAsia="zh-CN"/>
              </w:rPr>
              <w:t>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szCs w:val="20"/>
              </w:rPr>
            </w:pPr>
            <w:r>
              <w:rPr>
                <w:rFonts w:hint="eastAsia" w:ascii="黑体" w:hAnsi="黑体" w:eastAsia="黑体" w:cs="黑体"/>
                <w:kern w:val="0"/>
                <w:sz w:val="20"/>
                <w:szCs w:val="20"/>
              </w:rPr>
              <w:t>保密要求</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w:t>
            </w:r>
          </w:p>
        </w:tc>
        <w:tc>
          <w:tcPr>
            <w:tcW w:w="4493"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rPr>
            </w:pPr>
            <w:r>
              <w:rPr>
                <w:rFonts w:hint="eastAsia" w:ascii="黑体" w:hAnsi="宋体" w:eastAsia="黑体" w:cs="黑体"/>
                <w:iCs/>
                <w:kern w:val="0"/>
                <w:sz w:val="20"/>
                <w:szCs w:val="20"/>
              </w:rPr>
              <w:t>除设备系统日志外,不许拷贝患者相关信息，且不允许连接互联网。</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rPr>
            </w:pPr>
            <w:r>
              <w:rPr>
                <w:rFonts w:hint="eastAsia" w:ascii="黑体" w:hAnsi="宋体" w:eastAsia="黑体" w:cs="黑体"/>
                <w:i w:val="0"/>
                <w:iCs w:val="0"/>
                <w:kern w:val="0"/>
                <w:sz w:val="20"/>
                <w:szCs w:val="20"/>
              </w:rPr>
              <w:t>企业承诺</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采购实施建议</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sz w:val="20"/>
                <w:szCs w:val="20"/>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采购方式</w:t>
            </w:r>
          </w:p>
        </w:tc>
        <w:tc>
          <w:tcPr>
            <w:tcW w:w="7170"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■公开招标    □邀请招标    □竞争性谈判    □单一来源     □询价</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sz w:val="20"/>
                <w:szCs w:val="20"/>
              </w:rPr>
              <w:t>2</w:t>
            </w:r>
          </w:p>
        </w:tc>
        <w:tc>
          <w:tcPr>
            <w:tcW w:w="1389" w:type="dxa"/>
            <w:gridSpan w:val="2"/>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评审方法</w:t>
            </w:r>
          </w:p>
        </w:tc>
        <w:tc>
          <w:tcPr>
            <w:tcW w:w="7170" w:type="dxa"/>
            <w:gridSpan w:val="6"/>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rPr>
              <w:t>■综合评分法      □质量优先法      □经评审的最低价法</w:t>
            </w:r>
          </w:p>
        </w:tc>
      </w:tr>
      <w:tr>
        <w:tblPrEx>
          <w:tblCellMar>
            <w:top w:w="0" w:type="dxa"/>
            <w:left w:w="108" w:type="dxa"/>
            <w:bottom w:w="0" w:type="dxa"/>
            <w:right w:w="108" w:type="dxa"/>
          </w:tblCellMar>
        </w:tblPrEx>
        <w:trPr>
          <w:trHeight w:val="598" w:hRule="atLeast"/>
        </w:trPr>
        <w:tc>
          <w:tcPr>
            <w:tcW w:w="501"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kern w:val="0"/>
                <w:sz w:val="20"/>
                <w:szCs w:val="20"/>
              </w:rPr>
            </w:pPr>
            <w:r>
              <w:rPr>
                <w:rFonts w:hint="eastAsia" w:ascii="黑体" w:hAnsi="宋体" w:eastAsia="黑体" w:cs="黑体"/>
                <w:kern w:val="0"/>
                <w:sz w:val="20"/>
                <w:szCs w:val="20"/>
              </w:rPr>
              <w:t>3</w:t>
            </w:r>
          </w:p>
        </w:tc>
        <w:tc>
          <w:tcPr>
            <w:tcW w:w="138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color w:val="auto"/>
                <w:kern w:val="0"/>
                <w:sz w:val="20"/>
                <w:szCs w:val="20"/>
              </w:rPr>
            </w:pPr>
            <w:r>
              <w:rPr>
                <w:rFonts w:hint="eastAsia" w:ascii="黑体" w:hAnsi="宋体" w:eastAsia="黑体" w:cs="黑体"/>
                <w:color w:val="auto"/>
                <w:kern w:val="0"/>
                <w:sz w:val="20"/>
                <w:szCs w:val="20"/>
              </w:rPr>
              <w:t>技术偏离要求</w:t>
            </w:r>
          </w:p>
        </w:tc>
        <w:tc>
          <w:tcPr>
            <w:tcW w:w="7170" w:type="dxa"/>
            <w:gridSpan w:val="6"/>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▲标识的指标负偏离≥3项，投标企业技术分值为0分</w:t>
            </w:r>
          </w:p>
          <w:p>
            <w:pPr>
              <w:widowControl/>
              <w:spacing w:line="240" w:lineRule="exact"/>
              <w:jc w:val="left"/>
              <w:rPr>
                <w:rFonts w:ascii="黑体" w:hAnsi="黑体" w:eastAsia="黑体" w:cs="黑体"/>
                <w:color w:val="auto"/>
                <w:kern w:val="0"/>
                <w:sz w:val="20"/>
                <w:szCs w:val="20"/>
              </w:rPr>
            </w:pPr>
            <w:r>
              <w:rPr>
                <w:rFonts w:hint="eastAsia" w:ascii="黑体" w:hAnsi="黑体" w:eastAsia="黑体" w:cs="黑体"/>
                <w:color w:val="auto"/>
                <w:kern w:val="0"/>
                <w:sz w:val="20"/>
                <w:szCs w:val="20"/>
              </w:rPr>
              <w:t>▲标识的指标和“无标识”指标负偏离≥5项，投标企业技术分值为0分</w:t>
            </w:r>
          </w:p>
        </w:tc>
      </w:tr>
      <w:tr>
        <w:tblPrEx>
          <w:tblCellMar>
            <w:top w:w="0" w:type="dxa"/>
            <w:left w:w="108" w:type="dxa"/>
            <w:bottom w:w="0" w:type="dxa"/>
            <w:right w:w="108" w:type="dxa"/>
          </w:tblCellMar>
        </w:tblPrEx>
        <w:trPr>
          <w:trHeight w:val="1243" w:hRule="atLeast"/>
        </w:trPr>
        <w:tc>
          <w:tcPr>
            <w:tcW w:w="9060" w:type="dxa"/>
            <w:gridSpan w:val="9"/>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ind w:left="66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注：1.采购评审时★、▲号或无标识指标的重要程度逐级递减，</w:t>
            </w:r>
          </w:p>
          <w:p>
            <w:pPr>
              <w:widowControl/>
              <w:spacing w:line="300" w:lineRule="exact"/>
              <w:ind w:left="66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lang w:val="en-US" w:eastAsia="zh-CN"/>
              </w:rPr>
              <w:t>2</w:t>
            </w:r>
            <w:r>
              <w:rPr>
                <w:rFonts w:hint="eastAsia" w:ascii="宋体" w:hAnsi="宋体" w:cs="宋体"/>
                <w:kern w:val="0"/>
                <w:sz w:val="18"/>
                <w:szCs w:val="18"/>
              </w:rPr>
              <w:t>.★及▲标识的指标，采购单位要逐条明确证明材料，无法明确的默认由企业提供承诺；</w:t>
            </w:r>
          </w:p>
          <w:p>
            <w:pPr>
              <w:widowControl/>
              <w:spacing w:line="300" w:lineRule="exact"/>
              <w:ind w:left="660" w:leftChars="200" w:hanging="180" w:hangingChars="100"/>
              <w:jc w:val="left"/>
              <w:textAlignment w:val="center"/>
              <w:rPr>
                <w:rFonts w:ascii="宋体" w:hAnsi="宋体" w:cs="宋体"/>
                <w:sz w:val="22"/>
                <w:szCs w:val="22"/>
              </w:rPr>
            </w:pPr>
            <w:r>
              <w:rPr>
                <w:rFonts w:hint="eastAsia" w:ascii="宋体" w:hAnsi="宋体" w:cs="宋体"/>
                <w:kern w:val="0"/>
                <w:sz w:val="18"/>
                <w:szCs w:val="18"/>
                <w:lang w:val="en-US" w:eastAsia="zh-CN"/>
              </w:rPr>
              <w:t>3</w:t>
            </w:r>
            <w:r>
              <w:rPr>
                <w:rFonts w:hint="eastAsia" w:ascii="宋体" w:hAnsi="宋体" w:cs="宋体"/>
                <w:kern w:val="0"/>
                <w:sz w:val="18"/>
                <w:szCs w:val="18"/>
              </w:rPr>
              <w:t>.经济要求不接受企业负偏离；</w:t>
            </w:r>
          </w:p>
        </w:tc>
      </w:tr>
    </w:tbl>
    <w:p/>
    <w:sectPr>
      <w:footerReference r:id="rId5" w:type="first"/>
      <w:footerReference r:id="rId3" w:type="default"/>
      <w:footerReference r:id="rId4" w:type="even"/>
      <w:pgSz w:w="11906" w:h="16838"/>
      <w:pgMar w:top="960" w:right="1800" w:bottom="108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6EA7FF2"/>
    <w:rsid w:val="002124F0"/>
    <w:rsid w:val="00241513"/>
    <w:rsid w:val="00242FD0"/>
    <w:rsid w:val="00377885"/>
    <w:rsid w:val="003B7882"/>
    <w:rsid w:val="003D3D76"/>
    <w:rsid w:val="0052471F"/>
    <w:rsid w:val="00592F38"/>
    <w:rsid w:val="00637D28"/>
    <w:rsid w:val="00657CEE"/>
    <w:rsid w:val="006B2109"/>
    <w:rsid w:val="00726C16"/>
    <w:rsid w:val="007E0B4C"/>
    <w:rsid w:val="007F1F13"/>
    <w:rsid w:val="00806860"/>
    <w:rsid w:val="008E2E3C"/>
    <w:rsid w:val="00921A00"/>
    <w:rsid w:val="00981A89"/>
    <w:rsid w:val="00B402A2"/>
    <w:rsid w:val="00B55012"/>
    <w:rsid w:val="00BB4D38"/>
    <w:rsid w:val="00BD014C"/>
    <w:rsid w:val="00C37A6B"/>
    <w:rsid w:val="00C424B9"/>
    <w:rsid w:val="00C502B5"/>
    <w:rsid w:val="00C85DC9"/>
    <w:rsid w:val="00CF6D78"/>
    <w:rsid w:val="00D52480"/>
    <w:rsid w:val="00D57280"/>
    <w:rsid w:val="00DE5F95"/>
    <w:rsid w:val="00E30A18"/>
    <w:rsid w:val="00E83903"/>
    <w:rsid w:val="00FE4005"/>
    <w:rsid w:val="265041BC"/>
    <w:rsid w:val="368629C5"/>
    <w:rsid w:val="36EA7FF2"/>
    <w:rsid w:val="3EE631AA"/>
    <w:rsid w:val="3F532358"/>
    <w:rsid w:val="3FEF1A2B"/>
    <w:rsid w:val="641C76A0"/>
    <w:rsid w:val="689440FB"/>
    <w:rsid w:val="70AB7D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ody Text"/>
    <w:basedOn w:val="1"/>
    <w:next w:val="4"/>
    <w:qFormat/>
    <w:uiPriority w:val="0"/>
    <w:pPr>
      <w:spacing w:line="400" w:lineRule="exact"/>
      <w:ind w:firstLine="200" w:firstLineChars="200"/>
    </w:pPr>
    <w:rPr>
      <w:rFonts w:asciiTheme="minorHAnsi" w:hAnsiTheme="minorHAnsi" w:eastAsiaTheme="minorEastAsia" w:cstheme="minorBidi"/>
    </w:rPr>
  </w:style>
  <w:style w:type="paragraph" w:styleId="4">
    <w:name w:val="Body Text Indent"/>
    <w:basedOn w:val="1"/>
    <w:qFormat/>
    <w:uiPriority w:val="0"/>
    <w:pPr>
      <w:spacing w:after="120"/>
      <w:ind w:left="420" w:leftChars="200"/>
    </w:pPr>
    <w:rPr>
      <w:rFonts w:asciiTheme="minorHAnsi" w:hAnsiTheme="minorHAnsi" w:eastAsiaTheme="minorEastAsia" w:cstheme="minorBidi"/>
      <w:sz w:val="21"/>
    </w:rPr>
  </w:style>
  <w:style w:type="paragraph" w:styleId="5">
    <w:name w:val="footer"/>
    <w:basedOn w:val="1"/>
    <w:qFormat/>
    <w:uiPriority w:val="99"/>
    <w:pPr>
      <w:tabs>
        <w:tab w:val="center" w:pos="4153"/>
        <w:tab w:val="right" w:pos="8306"/>
      </w:tabs>
      <w:snapToGrid w:val="0"/>
      <w:spacing w:line="240" w:lineRule="atLeast"/>
      <w:ind w:firstLine="560" w:firstLineChars="200"/>
      <w:jc w:val="left"/>
    </w:pPr>
    <w:rPr>
      <w:rFonts w:ascii="Tahoma" w:hAnsi="Tahoma" w:eastAsia="仿宋_GB2312" w:cstheme="minorBidi"/>
      <w:sz w:val="18"/>
      <w:szCs w:val="20"/>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font111"/>
    <w:basedOn w:val="8"/>
    <w:qFormat/>
    <w:uiPriority w:val="0"/>
    <w:rPr>
      <w:rFonts w:hint="eastAsia" w:ascii="黑体" w:hAnsi="宋体" w:eastAsia="黑体" w:cs="黑体"/>
      <w:i/>
      <w:iCs/>
      <w:color w:val="000000"/>
      <w:sz w:val="20"/>
      <w:szCs w:val="20"/>
      <w:u w:val="none"/>
    </w:rPr>
  </w:style>
  <w:style w:type="character" w:customStyle="1" w:styleId="10">
    <w:name w:val="页眉 Char"/>
    <w:basedOn w:val="8"/>
    <w:link w:val="6"/>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340</Words>
  <Characters>1941</Characters>
  <Lines>16</Lines>
  <Paragraphs>4</Paragraphs>
  <TotalTime>1</TotalTime>
  <ScaleCrop>false</ScaleCrop>
  <LinksUpToDate>false</LinksUpToDate>
  <CharactersWithSpaces>2277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2024-02-06T06:35:00Z</dcterms:created>
  <dc:creator>Administrator</dc:creator>
  <cp:lastModifiedBy>DOCTOR</cp:lastModifiedBy>
  <dcterms:modified xsi:type="dcterms:W3CDTF">2024-06-25T00:07:39Z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