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Lines="50" w:afterLines="50" w:line="572" w:lineRule="exact"/>
        <w:jc w:val="center"/>
        <w:rPr>
          <w:rFonts w:ascii="方正小标宋简体" w:hAnsi="方正小标宋简体" w:eastAsia="方正小标宋简体" w:cs="方正小标宋简体"/>
          <w:kern w:val="0"/>
          <w:sz w:val="28"/>
          <w:szCs w:val="28"/>
        </w:rPr>
      </w:pPr>
      <w:r>
        <w:rPr>
          <w:rFonts w:hint="eastAsia" w:ascii="方正小标宋简体" w:hAnsi="方正小标宋简体" w:eastAsia="方正小标宋简体" w:cs="方正小标宋简体"/>
          <w:kern w:val="0"/>
          <w:sz w:val="44"/>
          <w:szCs w:val="44"/>
        </w:rPr>
        <w:t>采购需求表（物资类）</w:t>
      </w:r>
    </w:p>
    <w:tbl>
      <w:tblPr>
        <w:tblStyle w:val="10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633"/>
        <w:gridCol w:w="756"/>
        <w:gridCol w:w="203"/>
        <w:gridCol w:w="517"/>
        <w:gridCol w:w="75"/>
        <w:gridCol w:w="859"/>
        <w:gridCol w:w="2351"/>
        <w:gridCol w:w="1208"/>
        <w:gridCol w:w="727"/>
        <w:gridCol w:w="123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060" w:type="dxa"/>
            <w:gridSpan w:val="11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hint="eastAsia" w:ascii="宋体" w:hAnsi="宋体" w:eastAsia="宋体" w:cs="宋体"/>
                <w:lang w:eastAsia="zh-CN"/>
              </w:rPr>
            </w:pPr>
            <w:r>
              <w:rPr>
                <w:rFonts w:hint="eastAsia" w:ascii="宋体" w:hAnsi="宋体" w:cs="宋体"/>
                <w:kern w:val="0"/>
                <w:sz w:val="24"/>
                <w:szCs w:val="24"/>
                <w:lang w:val="en-US" w:eastAsia="zh-CN"/>
              </w:rPr>
              <w:t xml:space="preserve">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6" w:hRule="atLeast"/>
        </w:trPr>
        <w:tc>
          <w:tcPr>
            <w:tcW w:w="1134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采购计划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编号</w:t>
            </w:r>
          </w:p>
        </w:tc>
        <w:tc>
          <w:tcPr>
            <w:tcW w:w="1551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nil"/>
            </w:tcBorders>
            <w:vAlign w:val="center"/>
          </w:tcPr>
          <w:p>
            <w:pPr>
              <w:widowControl/>
              <w:jc w:val="center"/>
              <w:rPr>
                <w:rFonts w:hint="eastAsia" w:ascii="黑体" w:hAnsi="宋体" w:eastAsia="黑体" w:cs="黑体"/>
                <w:sz w:val="20"/>
                <w:lang w:eastAsia="zh-CN"/>
              </w:rPr>
            </w:pPr>
            <w:r>
              <w:rPr>
                <w:rFonts w:hint="eastAsia" w:ascii="黑体" w:hAnsi="宋体" w:eastAsia="黑体" w:cs="黑体"/>
                <w:sz w:val="20"/>
                <w:lang w:val="en-US" w:eastAsia="zh-CN"/>
              </w:rPr>
              <w:t>/</w:t>
            </w:r>
          </w:p>
        </w:tc>
        <w:tc>
          <w:tcPr>
            <w:tcW w:w="859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项目名称</w:t>
            </w:r>
          </w:p>
        </w:tc>
        <w:tc>
          <w:tcPr>
            <w:tcW w:w="235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富血小板血浆制备设备（低速冷冻离心机）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35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序号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需求名称</w:t>
            </w:r>
          </w:p>
        </w:tc>
        <w:tc>
          <w:tcPr>
            <w:tcW w:w="79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参数</w:t>
            </w:r>
          </w:p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性质</w:t>
            </w:r>
          </w:p>
        </w:tc>
        <w:tc>
          <w:tcPr>
            <w:tcW w:w="4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是否</w:t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宋体" w:eastAsia="黑体" w:cs="黑体"/>
                <w:kern w:val="0"/>
                <w:sz w:val="20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备注（证明材料等其他要求）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技术要求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</w:t>
            </w:r>
          </w:p>
        </w:tc>
        <w:tc>
          <w:tcPr>
            <w:tcW w:w="15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基本要求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微软雅黑" w:hAnsi="微软雅黑" w:eastAsia="微软雅黑" w:cs="黑体"/>
                <w:sz w:val="20"/>
              </w:rPr>
            </w:pPr>
            <w:r>
              <w:rPr>
                <w:rFonts w:hint="eastAsia" w:ascii="微软雅黑" w:hAnsi="微软雅黑" w:eastAsia="微软雅黑" w:cs="黑体"/>
                <w:sz w:val="20"/>
              </w:rPr>
              <w:t>PRP制备专用。使用一次性无菌注射器制备多形态富血小板血浆制品（PRP/PRF/CGF），制备过程中无需其他专用制备耗材。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技术白皮书或企业承诺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8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2</w:t>
            </w:r>
          </w:p>
        </w:tc>
        <w:tc>
          <w:tcPr>
            <w:tcW w:w="15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标准规范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微软雅黑" w:hAnsi="微软雅黑" w:eastAsia="微软雅黑" w:cs="黑体"/>
                <w:sz w:val="20"/>
              </w:rPr>
            </w:pPr>
            <w:r>
              <w:rPr>
                <w:rFonts w:hint="eastAsia" w:ascii="微软雅黑" w:hAnsi="微软雅黑" w:eastAsia="微软雅黑" w:cs="黑体"/>
                <w:kern w:val="0"/>
                <w:sz w:val="20"/>
              </w:rPr>
              <w:t>I类医疗器械许可证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认证材料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15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技术指标1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sz w:val="20"/>
              </w:rPr>
              <w:t>采血最小样本量10ml，最大样本量40ml。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4</w:t>
            </w:r>
          </w:p>
        </w:tc>
        <w:tc>
          <w:tcPr>
            <w:tcW w:w="15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技术指标2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微软雅黑" w:hAnsi="微软雅黑" w:eastAsia="微软雅黑" w:cs="微软雅黑"/>
                <w:b/>
                <w:bCs/>
                <w:sz w:val="20"/>
              </w:rPr>
            </w:pPr>
            <w:r>
              <w:rPr>
                <w:rFonts w:hint="eastAsia" w:ascii="微软雅黑" w:hAnsi="微软雅黑" w:eastAsia="微软雅黑" w:cs="微软雅黑"/>
                <w:sz w:val="20"/>
              </w:rPr>
              <w:t>适配器为水平转子，内部结构设计能吻合正向放置的完整注射器，可灵活拿取。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8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5</w:t>
            </w:r>
          </w:p>
        </w:tc>
        <w:tc>
          <w:tcPr>
            <w:tcW w:w="15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技术指标3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微软雅黑" w:hAnsi="微软雅黑" w:eastAsia="微软雅黑" w:cs="微软雅黑"/>
                <w:b/>
                <w:bCs/>
                <w:sz w:val="20"/>
              </w:rPr>
            </w:pPr>
            <w:r>
              <w:rPr>
                <w:rFonts w:hint="eastAsia" w:ascii="微软雅黑" w:hAnsi="微软雅黑" w:eastAsia="微软雅黑" w:cs="微软雅黑"/>
                <w:sz w:val="20"/>
              </w:rPr>
              <w:t>适配器为铝合金材质，可防爆分压，可高温高压灭菌，反复使用。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3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6</w:t>
            </w:r>
          </w:p>
        </w:tc>
        <w:tc>
          <w:tcPr>
            <w:tcW w:w="15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技术指标4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微软雅黑" w:hAnsi="微软雅黑" w:eastAsia="微软雅黑" w:cs="微软雅黑"/>
                <w:b/>
                <w:bCs/>
                <w:sz w:val="20"/>
              </w:rPr>
            </w:pPr>
            <w:r>
              <w:rPr>
                <w:rFonts w:hint="eastAsia" w:ascii="微软雅黑" w:hAnsi="微软雅黑" w:eastAsia="微软雅黑" w:cs="微软雅黑"/>
                <w:sz w:val="20"/>
              </w:rPr>
              <w:t>预设PRP制备模块，2次离心法，软堆积梯度离心模式。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2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7</w:t>
            </w:r>
          </w:p>
        </w:tc>
        <w:tc>
          <w:tcPr>
            <w:tcW w:w="15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技术指标5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微软雅黑" w:hAnsi="微软雅黑" w:eastAsia="微软雅黑" w:cs="微软雅黑"/>
                <w:b/>
                <w:bCs/>
                <w:sz w:val="20"/>
              </w:rPr>
            </w:pPr>
            <w:r>
              <w:rPr>
                <w:rFonts w:hint="eastAsia" w:ascii="微软雅黑" w:hAnsi="微软雅黑" w:eastAsia="微软雅黑" w:cs="微软雅黑"/>
                <w:sz w:val="20"/>
              </w:rPr>
              <w:t>医生可根据临床需求制备不同血小板、白细胞计数的制品（浓度3-5倍）。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8</w:t>
            </w:r>
          </w:p>
        </w:tc>
        <w:tc>
          <w:tcPr>
            <w:tcW w:w="15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技术指标6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微软雅黑" w:hAnsi="微软雅黑" w:eastAsia="微软雅黑" w:cs="微软雅黑"/>
                <w:b/>
                <w:bCs/>
                <w:sz w:val="20"/>
              </w:rPr>
            </w:pPr>
            <w:r>
              <w:rPr>
                <w:rFonts w:hint="eastAsia" w:ascii="微软雅黑" w:hAnsi="微软雅黑" w:eastAsia="微软雅黑" w:cs="微软雅黑"/>
                <w:sz w:val="20"/>
              </w:rPr>
              <w:t>预设PRF制备模块，CGF制备模块。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6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9</w:t>
            </w:r>
          </w:p>
        </w:tc>
        <w:tc>
          <w:tcPr>
            <w:tcW w:w="15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技术指标7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spacing w:after="120"/>
              <w:rPr>
                <w:rFonts w:ascii="微软雅黑" w:hAnsi="微软雅黑" w:eastAsia="微软雅黑" w:cs="微软雅黑"/>
                <w:sz w:val="24"/>
                <w:szCs w:val="24"/>
              </w:rPr>
            </w:pPr>
            <w:r>
              <w:rPr>
                <w:rFonts w:hint="eastAsia" w:ascii="微软雅黑" w:hAnsi="微软雅黑" w:eastAsia="微软雅黑" w:cs="微软雅黑"/>
                <w:sz w:val="20"/>
              </w:rPr>
              <w:t>所有制备程序最终制品可呈液态或凝胶状。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10</w:t>
            </w:r>
          </w:p>
        </w:tc>
        <w:tc>
          <w:tcPr>
            <w:tcW w:w="15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技术指标8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微软雅黑" w:hAnsi="微软雅黑" w:eastAsia="微软雅黑" w:cs="微软雅黑"/>
                <w:b/>
                <w:bCs/>
                <w:sz w:val="20"/>
              </w:rPr>
            </w:pPr>
            <w:r>
              <w:rPr>
                <w:rFonts w:hint="eastAsia" w:ascii="微软雅黑" w:hAnsi="微软雅黑" w:eastAsia="微软雅黑" w:cs="微软雅黑"/>
                <w:sz w:val="20"/>
              </w:rPr>
              <w:t>具有双循环制冷系统，温度控制范围≤20℃，温度控制精度±2℃。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6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11</w:t>
            </w:r>
          </w:p>
        </w:tc>
        <w:tc>
          <w:tcPr>
            <w:tcW w:w="15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技术指标9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微软雅黑" w:hAnsi="微软雅黑" w:eastAsia="微软雅黑" w:cs="微软雅黑"/>
                <w:b/>
                <w:bCs/>
                <w:sz w:val="20"/>
              </w:rPr>
            </w:pPr>
            <w:r>
              <w:rPr>
                <w:rFonts w:hint="eastAsia" w:ascii="微软雅黑" w:hAnsi="微软雅黑" w:eastAsia="微软雅黑" w:cs="微软雅黑"/>
                <w:sz w:val="20"/>
              </w:rPr>
              <w:t>感控装置：紫外线辐射消毒。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12</w:t>
            </w:r>
          </w:p>
        </w:tc>
        <w:tc>
          <w:tcPr>
            <w:tcW w:w="15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技术指标10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微软雅黑" w:hAnsi="微软雅黑" w:eastAsia="微软雅黑" w:cs="微软雅黑"/>
                <w:b/>
                <w:bCs/>
                <w:sz w:val="20"/>
              </w:rPr>
            </w:pPr>
            <w:r>
              <w:rPr>
                <w:rFonts w:hint="eastAsia" w:ascii="微软雅黑" w:hAnsi="微软雅黑" w:eastAsia="微软雅黑" w:cs="黑体"/>
                <w:sz w:val="20"/>
              </w:rPr>
              <w:t>安全保护系统：搭载减震系统，具有超速、不平衡停机保护系统，电子门锁，防止误启动。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13</w:t>
            </w:r>
          </w:p>
        </w:tc>
        <w:tc>
          <w:tcPr>
            <w:tcW w:w="15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技术指标11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微软雅黑" w:hAnsi="微软雅黑" w:eastAsia="微软雅黑" w:cs="微软雅黑"/>
                <w:b/>
                <w:bCs/>
                <w:sz w:val="20"/>
              </w:rPr>
            </w:pPr>
            <w:r>
              <w:rPr>
                <w:rFonts w:hint="eastAsia" w:ascii="微软雅黑" w:hAnsi="微软雅黑" w:eastAsia="微软雅黑" w:cs="黑体"/>
                <w:sz w:val="20"/>
              </w:rPr>
              <w:t>交互设计：彩色显示触摸屏，可显示设备状态。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14</w:t>
            </w:r>
          </w:p>
        </w:tc>
        <w:tc>
          <w:tcPr>
            <w:tcW w:w="15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技术指标12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微软雅黑" w:hAnsi="微软雅黑" w:eastAsia="微软雅黑" w:cs="微软雅黑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sz w:val="20"/>
              </w:rPr>
              <w:t>转速：≥4000r/min≤5000r/min。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8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15</w:t>
            </w:r>
          </w:p>
        </w:tc>
        <w:tc>
          <w:tcPr>
            <w:tcW w:w="15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技术指标13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微软雅黑" w:hAnsi="微软雅黑" w:eastAsia="微软雅黑" w:cs="黑体"/>
                <w:sz w:val="20"/>
              </w:rPr>
            </w:pPr>
            <w:r>
              <w:rPr>
                <w:rFonts w:hint="eastAsia" w:ascii="微软雅黑" w:hAnsi="微软雅黑" w:eastAsia="微软雅黑" w:cs="微软雅黑"/>
                <w:sz w:val="20"/>
              </w:rPr>
              <w:t>转速控制精度：±50r/min。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7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16</w:t>
            </w:r>
          </w:p>
        </w:tc>
        <w:tc>
          <w:tcPr>
            <w:tcW w:w="15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技术指标14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rPr>
                <w:rFonts w:ascii="微软雅黑" w:hAnsi="微软雅黑" w:eastAsia="微软雅黑" w:cs="微软雅黑"/>
                <w:b/>
                <w:bCs/>
                <w:sz w:val="20"/>
              </w:rPr>
            </w:pPr>
            <w:r>
              <w:rPr>
                <w:rFonts w:hint="eastAsia" w:ascii="微软雅黑" w:hAnsi="微软雅黑" w:eastAsia="微软雅黑" w:cs="微软雅黑"/>
                <w:sz w:val="20"/>
              </w:rPr>
              <w:t>噪音：≤70dB。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是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技术白皮书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6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17</w:t>
            </w:r>
          </w:p>
        </w:tc>
        <w:tc>
          <w:tcPr>
            <w:tcW w:w="15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配置要求15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微软雅黑" w:hAnsi="微软雅黑" w:eastAsia="微软雅黑" w:cs="黑体"/>
                <w:sz w:val="20"/>
              </w:rPr>
            </w:pPr>
            <w:r>
              <w:rPr>
                <w:rFonts w:hint="eastAsia" w:ascii="微软雅黑" w:hAnsi="微软雅黑" w:eastAsia="微软雅黑" w:cs="黑体"/>
                <w:kern w:val="0"/>
                <w:sz w:val="20"/>
              </w:rPr>
              <w:t>低速冷冻离心机一体机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19</w:t>
            </w:r>
          </w:p>
        </w:tc>
        <w:tc>
          <w:tcPr>
            <w:tcW w:w="1592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配套耗材</w:t>
            </w:r>
          </w:p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（试剂）要求</w:t>
            </w:r>
          </w:p>
        </w:tc>
        <w:tc>
          <w:tcPr>
            <w:tcW w:w="5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微软雅黑" w:hAnsi="微软雅黑" w:eastAsia="微软雅黑" w:cs="黑体"/>
                <w:kern w:val="0"/>
                <w:sz w:val="20"/>
              </w:rPr>
            </w:pPr>
            <w:r>
              <w:rPr>
                <w:rFonts w:hint="eastAsia" w:ascii="微软雅黑" w:hAnsi="微软雅黑" w:eastAsia="微软雅黑" w:cs="黑体"/>
                <w:sz w:val="20"/>
              </w:rPr>
              <w:t>开放耗材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90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经济要求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6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交货时间、交货地点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合同签订后1个月内交付，交付地点由甲方指定。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付款及结算方式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签订合同付（预付）0%，物资到货（服务完成）验收后付95%。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color w:val="000000" w:themeColor="text1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0"/>
              </w:rPr>
              <w:t>履约保证金/质量保证金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验收合格后满6个月内无质量问题支付剩余5%（不超过5%）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7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4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产品包装和运输要求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按照国家、行业相关标准规范，产品确保包装完好，运输确保不对产品造成损伤。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6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5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售后服务1</w:t>
            </w:r>
          </w:p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（质保）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保修年限不低于3年，全年故障停机时间不高于5%（按365日/年计算)。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6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售后服务2</w:t>
            </w:r>
          </w:p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（质保）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保修期内免费提供定期维护保养服务，免费升级和维护软件，免费提供使用培训。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7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售后服务3</w:t>
            </w:r>
          </w:p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（质保）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提供不少于2人次、1天的工程师维修培训。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sz w:val="20"/>
              </w:rPr>
            </w:pPr>
            <w:r>
              <w:rPr>
                <w:rFonts w:hint="eastAsia" w:ascii="黑体" w:hAnsi="黑体" w:eastAsia="黑体" w:cs="黑体"/>
                <w:sz w:val="20"/>
              </w:rPr>
              <w:t>8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售后服务4</w:t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br w:type="textWrapping"/>
            </w:r>
            <w:r>
              <w:rPr>
                <w:rFonts w:hint="eastAsia" w:ascii="黑体" w:hAnsi="黑体" w:eastAsia="黑体" w:cs="黑体"/>
                <w:kern w:val="0"/>
                <w:sz w:val="20"/>
              </w:rPr>
              <w:t>（响应时间）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维修响应时间≤24小时，维修到达现场时间≤72小时。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9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备品备件要求（零配件）</w:t>
            </w:r>
          </w:p>
        </w:tc>
        <w:tc>
          <w:tcPr>
            <w:tcW w:w="7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由供应商承诺项目使用寿命周期内保证零配件供应。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企业承诺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采购实施建议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1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采购方式</w:t>
            </w:r>
          </w:p>
        </w:tc>
        <w:tc>
          <w:tcPr>
            <w:tcW w:w="717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□公开招标    □邀请招标    ☑竞争性谈判    □单一来源     □询价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sz w:val="20"/>
              </w:rPr>
              <w:t>2</w:t>
            </w:r>
          </w:p>
        </w:tc>
        <w:tc>
          <w:tcPr>
            <w:tcW w:w="138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评审方法</w:t>
            </w:r>
          </w:p>
        </w:tc>
        <w:tc>
          <w:tcPr>
            <w:tcW w:w="7170" w:type="dxa"/>
            <w:gridSpan w:val="8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☑综合评分法      □质量优先法      □经评审的最低价法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3</w:t>
            </w:r>
          </w:p>
        </w:tc>
        <w:tc>
          <w:tcPr>
            <w:tcW w:w="138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黑体" w:hAnsi="宋体" w:eastAsia="黑体" w:cs="黑体"/>
                <w:kern w:val="0"/>
                <w:sz w:val="20"/>
              </w:rPr>
            </w:pPr>
            <w:r>
              <w:rPr>
                <w:rFonts w:hint="eastAsia" w:ascii="黑体" w:hAnsi="宋体" w:eastAsia="黑体" w:cs="黑体"/>
                <w:kern w:val="0"/>
                <w:sz w:val="20"/>
              </w:rPr>
              <w:t>技术偏离要求</w:t>
            </w:r>
          </w:p>
        </w:tc>
        <w:tc>
          <w:tcPr>
            <w:tcW w:w="717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textAlignment w:val="center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▲标识的指标负偏离≥2项，投标企业技术分值为0分</w:t>
            </w:r>
          </w:p>
          <w:p>
            <w:pPr>
              <w:widowControl/>
              <w:jc w:val="left"/>
              <w:rPr>
                <w:rFonts w:ascii="黑体" w:hAnsi="黑体" w:eastAsia="黑体" w:cs="黑体"/>
                <w:kern w:val="0"/>
                <w:sz w:val="20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</w:rPr>
              <w:t>▲标识的指标和“无标识”指标负偏离≥2项，投标企业技术分值为0分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50" w:hRule="atLeast"/>
        </w:trPr>
        <w:tc>
          <w:tcPr>
            <w:tcW w:w="9060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beforeLines="2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bookmarkStart w:id="0" w:name="_GoBack"/>
            <w:bookmarkEnd w:id="0"/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注：1.采购单位编制采购需求时填写此表；</w:t>
            </w:r>
          </w:p>
          <w:p>
            <w:pPr>
              <w:widowControl/>
              <w:ind w:left="600" w:leftChars="200" w:hanging="180" w:hangingChars="10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2.经济要求和技术要求应当客观，需逐条明确“是否量化”，量化指标应当明确相应等次，</w:t>
            </w:r>
          </w:p>
          <w:p>
            <w:pPr>
              <w:widowControl/>
              <w:ind w:left="600" w:leftChars="200" w:hanging="180" w:hangingChars="10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有连续区间的按照区间划分等次；</w:t>
            </w:r>
          </w:p>
          <w:p>
            <w:pPr>
              <w:widowControl/>
              <w:ind w:left="600" w:leftChars="200" w:hanging="180" w:hangingChars="10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3.采购单位根据项目实际情况及各项指标的重要程度，在序号列逐条进行标识（标识包含：</w:t>
            </w:r>
          </w:p>
          <w:p>
            <w:pPr>
              <w:widowControl/>
              <w:ind w:left="600" w:leftChars="200" w:hanging="180" w:hangingChars="10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“★”、“▲”或“无标识”）。采购评审时★、▲号或无标识指标的重要程度逐级递减，</w:t>
            </w:r>
          </w:p>
          <w:p>
            <w:pPr>
              <w:widowControl/>
              <w:ind w:left="600" w:leftChars="200" w:hanging="180" w:hangingChars="10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评审赋分逐级减少，★指标为必须响应指标，任意一项不满足要求即做废标处理；</w:t>
            </w:r>
          </w:p>
          <w:p>
            <w:pPr>
              <w:widowControl/>
              <w:ind w:left="600" w:leftChars="200" w:hanging="180" w:hangingChars="10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4.★及▲标识的指标，采购单位要逐条明确证明材料，无法明确的默认由企业提供承诺；</w:t>
            </w:r>
          </w:p>
          <w:p>
            <w:pPr>
              <w:widowControl/>
              <w:ind w:left="600" w:leftChars="200" w:hanging="180" w:hangingChars="10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5.“需求名称”前标记※号的为选填项，如无需求可删除此行；</w:t>
            </w:r>
          </w:p>
          <w:p>
            <w:pPr>
              <w:widowControl/>
              <w:ind w:left="600" w:leftChars="200" w:hanging="180" w:hangingChars="10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6.需求内容只能为一条指标，不允许出现多个小标题；</w:t>
            </w:r>
          </w:p>
          <w:p>
            <w:pPr>
              <w:widowControl/>
              <w:ind w:left="600" w:leftChars="200" w:hanging="180" w:hangingChars="100"/>
              <w:jc w:val="left"/>
              <w:textAlignment w:val="center"/>
              <w:rPr>
                <w:rFonts w:ascii="宋体" w:hAnsi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7.经济要求不接受企业负偏离；</w:t>
            </w:r>
          </w:p>
          <w:p>
            <w:pPr>
              <w:widowControl/>
              <w:spacing w:afterLines="20"/>
              <w:ind w:left="420" w:leftChars="200"/>
              <w:jc w:val="left"/>
              <w:textAlignment w:val="center"/>
              <w:rPr>
                <w:rFonts w:ascii="宋体" w:hAnsi="宋体" w:cs="宋体"/>
                <w:sz w:val="22"/>
                <w:szCs w:val="22"/>
              </w:rPr>
            </w:pPr>
            <w:r>
              <w:rPr>
                <w:rFonts w:hint="eastAsia" w:ascii="宋体" w:hAnsi="宋体" w:cs="宋体"/>
                <w:kern w:val="0"/>
                <w:sz w:val="18"/>
                <w:szCs w:val="18"/>
              </w:rPr>
              <w:t>8.斜体为辅助编制需求内容，可根据项目实际情况描写。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0000000000000000000"/>
    <w:charset w:val="86"/>
    <w:family w:val="roman"/>
    <w:pitch w:val="default"/>
    <w:sig w:usb0="00000000" w:usb1="00000000" w:usb2="00000000" w:usb3="00000000" w:csb0="00000000" w:csb1="00000000"/>
  </w:font>
  <w:font w:name="等线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characterSpacingControl w:val="doNotCompress"/>
  <w:compat>
    <w:useFELayout/>
    <w:compatSetting w:name="compatibilityMode" w:uri="http://schemas.microsoft.com/office/word" w:val="12"/>
  </w:compat>
  <w:docVars>
    <w:docVar w:name="commondata" w:val="eyJoZGlkIjoiZWUyYjI5YWU0ZTJmOTI1NjE4YzhjZDQxNmRkYzg0NDIifQ=="/>
  </w:docVars>
  <w:rsids>
    <w:rsidRoot w:val="00330193"/>
    <w:rsid w:val="000455CB"/>
    <w:rsid w:val="00050805"/>
    <w:rsid w:val="00077582"/>
    <w:rsid w:val="00082A7A"/>
    <w:rsid w:val="000A37CC"/>
    <w:rsid w:val="00100843"/>
    <w:rsid w:val="001E7B4C"/>
    <w:rsid w:val="001F6274"/>
    <w:rsid w:val="00201803"/>
    <w:rsid w:val="00245B8A"/>
    <w:rsid w:val="00276B76"/>
    <w:rsid w:val="002A58FD"/>
    <w:rsid w:val="002B7955"/>
    <w:rsid w:val="002E48DC"/>
    <w:rsid w:val="00330193"/>
    <w:rsid w:val="003402FC"/>
    <w:rsid w:val="003529F0"/>
    <w:rsid w:val="003712BC"/>
    <w:rsid w:val="0038174D"/>
    <w:rsid w:val="00384CF0"/>
    <w:rsid w:val="00395537"/>
    <w:rsid w:val="003F0B05"/>
    <w:rsid w:val="0041298A"/>
    <w:rsid w:val="004457DA"/>
    <w:rsid w:val="00472297"/>
    <w:rsid w:val="00495050"/>
    <w:rsid w:val="00495CD0"/>
    <w:rsid w:val="004A72DE"/>
    <w:rsid w:val="004E4235"/>
    <w:rsid w:val="00525866"/>
    <w:rsid w:val="0056424E"/>
    <w:rsid w:val="005F4A2F"/>
    <w:rsid w:val="00622EB9"/>
    <w:rsid w:val="00667BA8"/>
    <w:rsid w:val="006A4DDF"/>
    <w:rsid w:val="006A6DE7"/>
    <w:rsid w:val="006D5F8A"/>
    <w:rsid w:val="00705BF9"/>
    <w:rsid w:val="007704A9"/>
    <w:rsid w:val="00783E20"/>
    <w:rsid w:val="007A00CF"/>
    <w:rsid w:val="007F2B8A"/>
    <w:rsid w:val="00804208"/>
    <w:rsid w:val="0081035D"/>
    <w:rsid w:val="00883580"/>
    <w:rsid w:val="008901DB"/>
    <w:rsid w:val="008A0B6A"/>
    <w:rsid w:val="008A19D8"/>
    <w:rsid w:val="008E0FBD"/>
    <w:rsid w:val="008F3BAB"/>
    <w:rsid w:val="00967579"/>
    <w:rsid w:val="00990B19"/>
    <w:rsid w:val="009A138F"/>
    <w:rsid w:val="009B0D42"/>
    <w:rsid w:val="009F02BD"/>
    <w:rsid w:val="00A06C7F"/>
    <w:rsid w:val="00A27401"/>
    <w:rsid w:val="00AB19F3"/>
    <w:rsid w:val="00AE4AA1"/>
    <w:rsid w:val="00AF3CCC"/>
    <w:rsid w:val="00B71CA0"/>
    <w:rsid w:val="00B77900"/>
    <w:rsid w:val="00BE7709"/>
    <w:rsid w:val="00C40CEC"/>
    <w:rsid w:val="00CA54D5"/>
    <w:rsid w:val="00CD60AF"/>
    <w:rsid w:val="00D05ABA"/>
    <w:rsid w:val="00D127AD"/>
    <w:rsid w:val="00D254C8"/>
    <w:rsid w:val="00E0526E"/>
    <w:rsid w:val="00E17F85"/>
    <w:rsid w:val="00E96652"/>
    <w:rsid w:val="00EB25D9"/>
    <w:rsid w:val="00EB73E5"/>
    <w:rsid w:val="00ED6DE0"/>
    <w:rsid w:val="00EE78A1"/>
    <w:rsid w:val="00F06817"/>
    <w:rsid w:val="00F06A82"/>
    <w:rsid w:val="00F2748F"/>
    <w:rsid w:val="00FD706A"/>
    <w:rsid w:val="00FE2FF7"/>
    <w:rsid w:val="031713E0"/>
    <w:rsid w:val="089D2B41"/>
    <w:rsid w:val="0955232B"/>
    <w:rsid w:val="0E1327A4"/>
    <w:rsid w:val="17A77336"/>
    <w:rsid w:val="1A782A82"/>
    <w:rsid w:val="1E184C05"/>
    <w:rsid w:val="2DCA53AC"/>
    <w:rsid w:val="3427785E"/>
    <w:rsid w:val="38433C0C"/>
    <w:rsid w:val="39747D28"/>
    <w:rsid w:val="3E574458"/>
    <w:rsid w:val="40F5746F"/>
    <w:rsid w:val="41CB6057"/>
    <w:rsid w:val="44DE52DF"/>
    <w:rsid w:val="50521BD4"/>
    <w:rsid w:val="5F773F0E"/>
    <w:rsid w:val="5FA805FC"/>
    <w:rsid w:val="63934853"/>
    <w:rsid w:val="6714784F"/>
    <w:rsid w:val="6FD42CB7"/>
    <w:rsid w:val="7B8E01BE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8">
    <w:name w:val="Default Paragraph Font"/>
    <w:semiHidden/>
    <w:unhideWhenUsed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</w:style>
  <w:style w:type="paragraph" w:styleId="3">
    <w:name w:val="annotation subject"/>
    <w:basedOn w:val="4"/>
    <w:next w:val="4"/>
    <w:link w:val="15"/>
    <w:semiHidden/>
    <w:unhideWhenUsed/>
    <w:qFormat/>
    <w:uiPriority w:val="99"/>
    <w:rPr>
      <w:b/>
      <w:bCs/>
    </w:rPr>
  </w:style>
  <w:style w:type="paragraph" w:styleId="4">
    <w:name w:val="annotation text"/>
    <w:basedOn w:val="1"/>
    <w:link w:val="14"/>
    <w:semiHidden/>
    <w:unhideWhenUsed/>
    <w:uiPriority w:val="99"/>
    <w:pPr>
      <w:jc w:val="left"/>
    </w:pPr>
  </w:style>
  <w:style w:type="paragraph" w:styleId="5">
    <w:name w:val="Body Text Indent"/>
    <w:basedOn w:val="1"/>
    <w:link w:val="12"/>
    <w:qFormat/>
    <w:uiPriority w:val="0"/>
    <w:pPr>
      <w:spacing w:line="400" w:lineRule="exact"/>
      <w:ind w:firstLine="600" w:firstLineChars="200"/>
    </w:pPr>
    <w:rPr>
      <w:rFonts w:ascii="仿宋_GB2312" w:eastAsia="仿宋_GB2312"/>
      <w:sz w:val="30"/>
    </w:rPr>
  </w:style>
  <w:style w:type="paragraph" w:styleId="6">
    <w:name w:val="footer"/>
    <w:basedOn w:val="1"/>
    <w:link w:val="1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annotation reference"/>
    <w:basedOn w:val="8"/>
    <w:semiHidden/>
    <w:unhideWhenUsed/>
    <w:qFormat/>
    <w:uiPriority w:val="99"/>
    <w:rPr>
      <w:sz w:val="21"/>
      <w:szCs w:val="21"/>
    </w:rPr>
  </w:style>
  <w:style w:type="paragraph" w:customStyle="1" w:styleId="11">
    <w:name w:val="Default"/>
    <w:qFormat/>
    <w:uiPriority w:val="0"/>
    <w:pPr>
      <w:widowControl w:val="0"/>
      <w:autoSpaceDE w:val="0"/>
      <w:autoSpaceDN w:val="0"/>
      <w:adjustRightInd w:val="0"/>
    </w:pPr>
    <w:rPr>
      <w:rFonts w:ascii="方正小标宋简体" w:hAnsi="Times New Roman" w:eastAsia="方正小标宋简体" w:cs="方正小标宋简体"/>
      <w:color w:val="000000"/>
      <w:sz w:val="24"/>
      <w:szCs w:val="24"/>
      <w:lang w:val="en-US" w:eastAsia="zh-CN" w:bidi="ar-SA"/>
    </w:rPr>
  </w:style>
  <w:style w:type="character" w:customStyle="1" w:styleId="12">
    <w:name w:val="正文文本缩进 Char"/>
    <w:basedOn w:val="8"/>
    <w:link w:val="5"/>
    <w:uiPriority w:val="0"/>
    <w:rPr>
      <w:rFonts w:ascii="仿宋_GB2312" w:hAnsi="Times New Roman" w:eastAsia="仿宋_GB2312" w:cs="Times New Roman"/>
      <w:sz w:val="30"/>
      <w:szCs w:val="20"/>
    </w:rPr>
  </w:style>
  <w:style w:type="character" w:customStyle="1" w:styleId="13">
    <w:name w:val="font111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14">
    <w:name w:val="批注文字 Char"/>
    <w:basedOn w:val="8"/>
    <w:link w:val="4"/>
    <w:semiHidden/>
    <w:uiPriority w:val="99"/>
    <w:rPr>
      <w:rFonts w:ascii="Times New Roman" w:hAnsi="Times New Roman" w:eastAsia="宋体" w:cs="Times New Roman"/>
      <w:kern w:val="2"/>
      <w:sz w:val="21"/>
    </w:rPr>
  </w:style>
  <w:style w:type="character" w:customStyle="1" w:styleId="15">
    <w:name w:val="批注主题 Char"/>
    <w:basedOn w:val="14"/>
    <w:link w:val="3"/>
    <w:semiHidden/>
    <w:qFormat/>
    <w:uiPriority w:val="99"/>
    <w:rPr>
      <w:rFonts w:ascii="Times New Roman" w:hAnsi="Times New Roman" w:eastAsia="宋体" w:cs="Times New Roman"/>
      <w:b/>
      <w:bCs/>
      <w:kern w:val="2"/>
      <w:sz w:val="21"/>
    </w:rPr>
  </w:style>
  <w:style w:type="character" w:customStyle="1" w:styleId="16">
    <w:name w:val="页眉 Char"/>
    <w:basedOn w:val="8"/>
    <w:link w:val="7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character" w:customStyle="1" w:styleId="17">
    <w:name w:val="页脚 Char"/>
    <w:basedOn w:val="8"/>
    <w:link w:val="6"/>
    <w:semiHidden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298</Words>
  <Characters>1700</Characters>
  <Lines>14</Lines>
  <Paragraphs>3</Paragraphs>
  <TotalTime>14</TotalTime>
  <ScaleCrop>false</ScaleCrop>
  <LinksUpToDate>false</LinksUpToDate>
  <CharactersWithSpaces>1995</CharactersWithSpaces>
  <Application>WPS Office_10.8.2.6613_F1E327BC-269C-435d-A152-05C5408002CA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2024-10-16T01:18:00Z</dcterms:created>
  <dc:creator>D D</dc:creator>
  <cp:lastModifiedBy>wzc</cp:lastModifiedBy>
  <dcterms:modified xsi:type="dcterms:W3CDTF">2024-10-22T11:06:09Z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  <property fmtid="{D5CDD505-2E9C-101B-9397-08002B2CF9AE}" pid="3" name="ICV">
    <vt:lpwstr>150912512F8F494F8B00ED78D6D5FE5C_13</vt:lpwstr>
  </property>
</Properties>
</file>