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 w:eastAsia="宋体"/>
          <w:lang w:eastAsia="zh-CN"/>
        </w:rPr>
      </w:pPr>
      <w:bookmarkStart w:id="0" w:name="_Toc25703"/>
      <w:bookmarkStart w:id="1" w:name="_Toc128150777"/>
      <w:bookmarkStart w:id="2" w:name="_Toc127820563"/>
      <w:bookmarkStart w:id="3" w:name="_Toc128397969"/>
      <w:bookmarkStart w:id="4" w:name="_Toc132190633"/>
      <w:bookmarkStart w:id="5" w:name="_Toc128150133"/>
      <w:bookmarkStart w:id="6" w:name="_Toc130887499"/>
      <w:bookmarkStart w:id="7" w:name="_Toc22387"/>
      <w:bookmarkStart w:id="8" w:name="_Toc128151026"/>
      <w:bookmarkStart w:id="9" w:name="_Toc30945"/>
      <w:bookmarkStart w:id="10" w:name="_Toc189"/>
      <w:r>
        <w:rPr>
          <w:rFonts w:hint="eastAsia" w:ascii="黑体" w:hAnsi="黑体" w:cs="黑体"/>
          <w:b w:val="0"/>
          <w:sz w:val="28"/>
          <w:szCs w:val="28"/>
          <w:highlight w:val="none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（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t>商务条款均为实质性条款，不接受负偏离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）</w:t>
      </w:r>
    </w:p>
    <w:p>
      <w:pPr>
        <w:pStyle w:val="7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Ansi="宋体"/>
          <w:bCs/>
          <w:sz w:val="28"/>
          <w:szCs w:val="28"/>
          <w:highlight w:val="none"/>
          <w:lang w:val="zh-CN"/>
        </w:rPr>
        <w:t>（一）</w:t>
      </w:r>
      <w:r>
        <w:rPr>
          <w:rFonts w:hAnsi="宋体"/>
          <w:bCs/>
          <w:sz w:val="28"/>
          <w:szCs w:val="28"/>
          <w:highlight w:val="none"/>
        </w:rPr>
        <w:t>交货</w:t>
      </w:r>
      <w:r>
        <w:rPr>
          <w:rFonts w:hint="eastAsia" w:hAnsi="宋体"/>
          <w:bCs/>
          <w:sz w:val="28"/>
          <w:szCs w:val="28"/>
          <w:highlight w:val="none"/>
        </w:rPr>
        <w:t>时间</w:t>
      </w:r>
      <w:r>
        <w:rPr>
          <w:rFonts w:hAnsi="宋体"/>
          <w:bCs/>
          <w:sz w:val="28"/>
          <w:szCs w:val="28"/>
          <w:highlight w:val="none"/>
        </w:rPr>
        <w:t>、地点</w:t>
      </w:r>
      <w:r>
        <w:rPr>
          <w:rFonts w:hint="eastAsia" w:hAnsi="宋体"/>
          <w:bCs/>
          <w:sz w:val="28"/>
          <w:szCs w:val="28"/>
          <w:highlight w:val="none"/>
        </w:rPr>
        <w:t>和方式</w:t>
      </w:r>
    </w:p>
    <w:p>
      <w:pPr>
        <w:pStyle w:val="7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ascii="宋体" w:hAnsi="宋体" w:cs="宋体"/>
          <w:bCs/>
          <w:sz w:val="28"/>
          <w:szCs w:val="28"/>
          <w:highlight w:val="none"/>
        </w:rPr>
        <w:t>1.</w:t>
      </w:r>
      <w:r>
        <w:rPr>
          <w:rFonts w:hint="eastAsia" w:hAnsi="宋体"/>
          <w:bCs/>
          <w:sz w:val="28"/>
          <w:szCs w:val="28"/>
          <w:highlight w:val="none"/>
        </w:rPr>
        <w:t>交货时间：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hAnsi="宋体"/>
          <w:bCs/>
          <w:sz w:val="28"/>
          <w:szCs w:val="28"/>
          <w:highlight w:val="none"/>
          <w:u w:val="single"/>
          <w:lang w:eastAsia="zh-CN"/>
        </w:rPr>
        <w:t>合同签订后</w:t>
      </w:r>
      <w:r>
        <w:rPr>
          <w:rFonts w:hint="eastAsia" w:hAnsi="宋体"/>
          <w:bCs/>
          <w:sz w:val="28"/>
          <w:szCs w:val="28"/>
          <w:highlight w:val="none"/>
          <w:u w:val="single"/>
          <w:lang w:val="en-US" w:eastAsia="zh-CN"/>
        </w:rPr>
        <w:t xml:space="preserve">3个月内交货 </w:t>
      </w:r>
      <w:r>
        <w:rPr>
          <w:rFonts w:hint="eastAsia" w:hAnsi="宋体"/>
          <w:bCs/>
          <w:sz w:val="28"/>
          <w:szCs w:val="28"/>
          <w:highlight w:val="none"/>
        </w:rPr>
        <w:t>。</w:t>
      </w:r>
    </w:p>
    <w:p>
      <w:pPr>
        <w:pStyle w:val="7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ascii="宋体" w:hAnsi="宋体" w:cs="宋体"/>
          <w:bCs/>
          <w:sz w:val="28"/>
          <w:szCs w:val="28"/>
          <w:highlight w:val="none"/>
        </w:rPr>
        <w:t>2.</w:t>
      </w:r>
      <w:r>
        <w:rPr>
          <w:rFonts w:hint="eastAsia" w:hAnsi="宋体"/>
          <w:bCs/>
          <w:sz w:val="28"/>
          <w:szCs w:val="28"/>
          <w:highlight w:val="none"/>
        </w:rPr>
        <w:t>交货地点：</w:t>
      </w:r>
      <w:r>
        <w:rPr>
          <w:rFonts w:hint="eastAsia" w:cs="Times New Roman"/>
          <w:bCs/>
          <w:kern w:val="0"/>
          <w:sz w:val="28"/>
          <w:szCs w:val="28"/>
          <w:highlight w:val="none"/>
          <w:u w:val="single"/>
          <w:lang w:val="zh-CN" w:eastAsia="zh-CN" w:bidi="ar-SA"/>
        </w:rPr>
        <w:t>指定地点</w:t>
      </w:r>
      <w:r>
        <w:rPr>
          <w:rFonts w:hint="eastAsia" w:hAnsi="宋体"/>
          <w:bCs/>
          <w:sz w:val="28"/>
          <w:szCs w:val="28"/>
          <w:highlight w:val="none"/>
        </w:rPr>
        <w:t>。</w:t>
      </w:r>
    </w:p>
    <w:p>
      <w:pPr>
        <w:pStyle w:val="7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ascii="宋体" w:hAnsi="宋体" w:cs="宋体"/>
          <w:bCs/>
          <w:sz w:val="28"/>
          <w:szCs w:val="28"/>
          <w:highlight w:val="none"/>
        </w:rPr>
        <w:t>3.</w:t>
      </w:r>
      <w:r>
        <w:rPr>
          <w:rFonts w:hint="eastAsia" w:hAnsi="宋体"/>
          <w:bCs/>
          <w:sz w:val="28"/>
          <w:szCs w:val="28"/>
          <w:highlight w:val="none"/>
        </w:rPr>
        <w:t>交货方式：</w:t>
      </w:r>
      <w:r>
        <w:rPr>
          <w:rFonts w:hint="eastAsia" w:hAnsi="宋体"/>
          <w:bCs/>
          <w:sz w:val="28"/>
          <w:szCs w:val="28"/>
          <w:highlight w:val="none"/>
          <w:u w:val="single"/>
        </w:rPr>
        <w:t xml:space="preserve"> </w:t>
      </w:r>
      <w:r>
        <w:rPr>
          <w:rFonts w:hint="eastAsia" w:hAnsi="宋体"/>
          <w:bCs/>
          <w:sz w:val="28"/>
          <w:szCs w:val="28"/>
          <w:highlight w:val="none"/>
          <w:u w:val="single"/>
          <w:lang w:val="en-US" w:eastAsia="zh-CN"/>
        </w:rPr>
        <w:t>/</w:t>
      </w:r>
      <w:r>
        <w:rPr>
          <w:rFonts w:hAnsi="宋体"/>
          <w:bCs/>
          <w:sz w:val="28"/>
          <w:szCs w:val="28"/>
          <w:highlight w:val="none"/>
          <w:u w:val="single"/>
        </w:rPr>
        <w:t xml:space="preserve"> </w:t>
      </w:r>
      <w:r>
        <w:rPr>
          <w:rFonts w:hint="eastAsia" w:hAnsi="宋体"/>
          <w:bCs/>
          <w:sz w:val="28"/>
          <w:szCs w:val="28"/>
          <w:highlight w:val="none"/>
        </w:rPr>
        <w:t>。</w:t>
      </w:r>
    </w:p>
    <w:p>
      <w:pPr>
        <w:pStyle w:val="7"/>
        <w:numPr>
          <w:ilvl w:val="0"/>
          <w:numId w:val="0"/>
        </w:numPr>
        <w:spacing w:line="560" w:lineRule="exact"/>
        <w:ind w:firstLine="560" w:firstLineChars="200"/>
        <w:rPr>
          <w:rFonts w:hint="eastAsia" w:ascii="宋体" w:hAnsi="宋体"/>
          <w:bCs/>
          <w:sz w:val="28"/>
          <w:szCs w:val="28"/>
          <w:highlight w:val="none"/>
          <w:lang w:val="zh-CN"/>
        </w:rPr>
      </w:pPr>
      <w:r>
        <w:rPr>
          <w:rFonts w:hAnsi="宋体"/>
          <w:bCs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Cs/>
          <w:sz w:val="28"/>
          <w:szCs w:val="28"/>
          <w:highlight w:val="none"/>
          <w:lang w:val="zh-CN"/>
        </w:rPr>
        <w:t>二</w:t>
      </w:r>
      <w:r>
        <w:rPr>
          <w:rFonts w:hAnsi="宋体"/>
          <w:bCs/>
          <w:sz w:val="28"/>
          <w:szCs w:val="28"/>
          <w:highlight w:val="none"/>
          <w:lang w:val="zh-CN"/>
        </w:rPr>
        <w:t>）</w:t>
      </w: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t>售后服务</w:t>
      </w:r>
    </w:p>
    <w:tbl>
      <w:tblPr>
        <w:tblStyle w:val="5"/>
        <w:tblW w:w="4999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2"/>
        <w:gridCol w:w="2733"/>
        <w:gridCol w:w="438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技术和性能参数名称</w:t>
            </w:r>
          </w:p>
        </w:tc>
        <w:tc>
          <w:tcPr>
            <w:tcW w:w="2632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招标参数和性能要求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72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639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原厂保修年限</w:t>
            </w:r>
          </w:p>
        </w:tc>
        <w:tc>
          <w:tcPr>
            <w:tcW w:w="263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≥3年，保修期内开机率不低于95%（按365日/年计算，含节假日)，未达到要求的开机率天数，按双倍天数顺延保修期。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零配件支持</w:t>
            </w:r>
          </w:p>
        </w:tc>
        <w:tc>
          <w:tcPr>
            <w:tcW w:w="2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零配件保证供应时长</w:t>
            </w:r>
          </w:p>
        </w:tc>
        <w:tc>
          <w:tcPr>
            <w:tcW w:w="2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厂家自报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到位维修响应</w:t>
            </w:r>
          </w:p>
        </w:tc>
        <w:tc>
          <w:tcPr>
            <w:tcW w:w="2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维修到达现场时间≤0.5个工作日（京内）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维修到达现场时间≤3个工作日（京外）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保修期外维修费用</w:t>
            </w:r>
          </w:p>
        </w:tc>
        <w:tc>
          <w:tcPr>
            <w:tcW w:w="2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提供免费保修期外的年度整机保修费用价格，提供维修工时费计算方法及价格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技术支持和服务网点</w:t>
            </w:r>
          </w:p>
        </w:tc>
        <w:tc>
          <w:tcPr>
            <w:tcW w:w="263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提供全国主要城市售后服务网点及售后人员数量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639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升级与软件维护</w:t>
            </w:r>
          </w:p>
        </w:tc>
        <w:tc>
          <w:tcPr>
            <w:tcW w:w="263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保修期内免费升级和软件维护；保修期外，原软件维护仅收工时费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72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专用工具、资料及其它</w:t>
            </w:r>
          </w:p>
        </w:tc>
        <w:tc>
          <w:tcPr>
            <w:tcW w:w="2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提供设备配套的维修专用工具，资料（操作手册、维修手册等）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72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培训</w:t>
            </w:r>
          </w:p>
        </w:tc>
        <w:tc>
          <w:tcPr>
            <w:tcW w:w="2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提供使用培训和工程师原厂培训</w:t>
            </w:r>
          </w:p>
        </w:tc>
      </w:tr>
    </w:tbl>
    <w:p>
      <w:pPr>
        <w:pStyle w:val="7"/>
        <w:numPr>
          <w:ilvl w:val="0"/>
          <w:numId w:val="1"/>
        </w:numPr>
        <w:spacing w:line="560" w:lineRule="exact"/>
        <w:ind w:firstLine="560"/>
        <w:rPr>
          <w:rFonts w:hint="eastAsia" w:hAnsi="宋体"/>
          <w:bCs/>
          <w:sz w:val="28"/>
          <w:szCs w:val="28"/>
          <w:highlight w:val="none"/>
          <w:lang w:val="zh-CN"/>
        </w:rPr>
      </w:pPr>
      <w:r>
        <w:rPr>
          <w:rFonts w:hint="eastAsia" w:hAnsi="宋体"/>
          <w:bCs/>
          <w:sz w:val="28"/>
          <w:szCs w:val="28"/>
          <w:highlight w:val="none"/>
          <w:lang w:val="zh-CN"/>
        </w:rPr>
        <w:t>包装运输</w:t>
      </w:r>
    </w:p>
    <w:p>
      <w:pPr>
        <w:pStyle w:val="7"/>
        <w:numPr>
          <w:ilvl w:val="0"/>
          <w:numId w:val="0"/>
        </w:numPr>
        <w:spacing w:line="560" w:lineRule="exact"/>
        <w:ind w:firstLine="560" w:firstLineChars="200"/>
        <w:rPr>
          <w:rFonts w:hint="eastAsia" w:hAnsi="宋体"/>
          <w:bCs/>
          <w:sz w:val="28"/>
          <w:szCs w:val="28"/>
          <w:highlight w:val="none"/>
          <w:lang w:val="zh-CN"/>
        </w:rPr>
      </w:pPr>
      <w:r>
        <w:rPr>
          <w:rFonts w:hint="eastAsia" w:hAnsi="宋体"/>
          <w:bCs/>
          <w:sz w:val="28"/>
          <w:szCs w:val="28"/>
          <w:highlight w:val="none"/>
          <w:lang w:val="zh-CN"/>
        </w:rPr>
        <w:t>设备需采取坚固外包装，适合长途运输，防湿、防潮、防震、防锈，耐粗暴搬运等，以确保设备安全无损运抵甲方指定地点。如果设备外包装在运输途中发生破损，甲方可拒绝签收，并及时通知乙方，因存放而发生的费用由乙方承担。由于包装不善而造成设备损坏的，乙方应无条件退换并承担由此产生的一切费用、损失及违约责任。如果是国外产品，木箱包装需要经过熏蒸，无虫卵，送货之前需要进行消杀处理。</w:t>
      </w:r>
    </w:p>
    <w:p>
      <w:pPr>
        <w:pStyle w:val="7"/>
        <w:spacing w:line="560" w:lineRule="exact"/>
        <w:ind w:firstLine="560"/>
        <w:rPr>
          <w:bCs/>
          <w:sz w:val="28"/>
          <w:szCs w:val="28"/>
          <w:highlight w:val="none"/>
        </w:rPr>
      </w:pPr>
      <w:r>
        <w:rPr>
          <w:rFonts w:hAnsi="宋体"/>
          <w:bCs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Cs/>
          <w:sz w:val="28"/>
          <w:szCs w:val="28"/>
          <w:highlight w:val="none"/>
          <w:lang w:eastAsia="zh-CN"/>
        </w:rPr>
        <w:t>四</w:t>
      </w:r>
      <w:r>
        <w:rPr>
          <w:rFonts w:hAnsi="宋体"/>
          <w:bCs/>
          <w:sz w:val="28"/>
          <w:szCs w:val="28"/>
          <w:highlight w:val="none"/>
          <w:lang w:val="zh-CN"/>
        </w:rPr>
        <w:t>）</w:t>
      </w:r>
      <w:r>
        <w:rPr>
          <w:rFonts w:hint="eastAsia" w:hAnsi="宋体"/>
          <w:bCs/>
          <w:sz w:val="28"/>
          <w:szCs w:val="28"/>
          <w:highlight w:val="none"/>
        </w:rPr>
        <w:t>知识产权</w:t>
      </w:r>
      <w:r>
        <w:rPr>
          <w:rFonts w:hAnsi="宋体"/>
          <w:bCs/>
          <w:sz w:val="28"/>
          <w:szCs w:val="28"/>
          <w:highlight w:val="none"/>
        </w:rPr>
        <w:t>和保密要求</w:t>
      </w:r>
    </w:p>
    <w:p>
      <w:pPr>
        <w:pStyle w:val="7"/>
        <w:spacing w:line="560" w:lineRule="exact"/>
        <w:ind w:firstLine="560"/>
        <w:rPr>
          <w:bCs/>
          <w:sz w:val="28"/>
          <w:szCs w:val="28"/>
          <w:highlight w:val="none"/>
          <w:lang w:val="zh-CN"/>
        </w:rPr>
      </w:pPr>
      <w:r>
        <w:rPr>
          <w:rFonts w:hint="eastAsia"/>
          <w:bCs/>
          <w:sz w:val="28"/>
          <w:szCs w:val="28"/>
          <w:highlight w:val="none"/>
          <w:lang w:val="zh-CN"/>
        </w:rPr>
        <w:t>投标供应商应当保证采购单位在使用该物资或其任何一部分时，不受第三方侵权指控。同时，投标供应商不得向第三方泄露采购机构提供的技术文件等</w:t>
      </w:r>
      <w:r>
        <w:rPr>
          <w:rFonts w:hint="eastAsia" w:ascii="宋体" w:hAnsi="宋体"/>
          <w:bCs/>
          <w:sz w:val="28"/>
          <w:szCs w:val="28"/>
          <w:highlight w:val="none"/>
        </w:rPr>
        <w:t>材料</w:t>
      </w:r>
      <w:r>
        <w:rPr>
          <w:rFonts w:hint="eastAsia"/>
          <w:bCs/>
          <w:sz w:val="28"/>
          <w:szCs w:val="28"/>
          <w:highlight w:val="none"/>
          <w:lang w:val="zh-CN"/>
        </w:rPr>
        <w:t>。</w:t>
      </w:r>
    </w:p>
    <w:p>
      <w:pPr>
        <w:pStyle w:val="7"/>
        <w:spacing w:line="560" w:lineRule="exact"/>
        <w:ind w:firstLine="560"/>
        <w:rPr>
          <w:bCs/>
          <w:sz w:val="28"/>
          <w:szCs w:val="28"/>
          <w:highlight w:val="none"/>
          <w:lang w:val="zh-CN"/>
        </w:rPr>
      </w:pPr>
      <w:r>
        <w:rPr>
          <w:rFonts w:hint="eastAsia"/>
          <w:bCs/>
          <w:sz w:val="28"/>
          <w:szCs w:val="28"/>
          <w:highlight w:val="none"/>
          <w:lang w:val="zh-CN"/>
        </w:rPr>
        <w:t>基于项目合同履行形成的知识产权和其他权益，其权属归采购单位所有，法律另有规定的除外。</w:t>
      </w:r>
    </w:p>
    <w:p>
      <w:pPr>
        <w:pStyle w:val="7"/>
        <w:spacing w:line="560" w:lineRule="exact"/>
        <w:ind w:firstLine="560"/>
        <w:rPr>
          <w:rFonts w:ascii="宋体" w:hAnsi="宋体"/>
          <w:bCs/>
          <w:sz w:val="28"/>
          <w:szCs w:val="28"/>
          <w:highlight w:val="none"/>
          <w:lang w:val="zh-CN"/>
        </w:rPr>
      </w:pPr>
      <w:r>
        <w:rPr>
          <w:rFonts w:ascii="宋体" w:hAnsi="宋体"/>
          <w:bCs/>
          <w:sz w:val="28"/>
          <w:szCs w:val="28"/>
          <w:highlight w:val="none"/>
          <w:lang w:val="zh-CN"/>
        </w:rPr>
        <w:t>（</w:t>
      </w: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t>五</w:t>
      </w:r>
      <w:r>
        <w:rPr>
          <w:rFonts w:ascii="宋体" w:hAnsi="宋体"/>
          <w:bCs/>
          <w:sz w:val="28"/>
          <w:szCs w:val="28"/>
          <w:highlight w:val="none"/>
          <w:lang w:val="zh-CN"/>
        </w:rPr>
        <w:t>）</w:t>
      </w: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t>物资编目编码、打码贴签</w:t>
      </w:r>
      <w:r>
        <w:rPr>
          <w:rFonts w:ascii="宋体" w:hAnsi="宋体"/>
          <w:bCs/>
          <w:sz w:val="28"/>
          <w:szCs w:val="28"/>
          <w:highlight w:val="none"/>
          <w:lang w:val="zh-CN"/>
        </w:rPr>
        <w:t>要求</w:t>
      </w:r>
    </w:p>
    <w:p>
      <w:pPr>
        <w:pStyle w:val="7"/>
        <w:spacing w:line="560" w:lineRule="exact"/>
        <w:ind w:firstLine="560"/>
        <w:rPr>
          <w:rFonts w:ascii="宋体" w:hAnsi="宋体"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t>本项目对物资的编目编码、打码贴签要求，投标供应商应当予以明确响应，相关费用包含在报价中。</w:t>
      </w:r>
    </w:p>
    <w:p>
      <w:pPr>
        <w:pStyle w:val="7"/>
        <w:spacing w:line="560" w:lineRule="atLeast"/>
        <w:ind w:firstLine="560"/>
        <w:rPr>
          <w:rFonts w:hint="eastAsia" w:ascii="宋体" w:hAnsi="宋体"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t>（</w:t>
      </w:r>
      <w:r>
        <w:rPr>
          <w:rFonts w:hint="eastAsia" w:ascii="宋体" w:hAnsi="宋体"/>
          <w:bCs/>
          <w:sz w:val="28"/>
          <w:szCs w:val="28"/>
          <w:highlight w:val="none"/>
          <w:lang w:eastAsia="zh-CN"/>
        </w:rPr>
        <w:t>六</w:t>
      </w: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t>）付款及结算方式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</w:pPr>
      <w:r>
        <w:rPr>
          <w:rFonts w:hint="eastAsia" w:ascii="宋体" w:hAnsi="宋体" w:eastAsia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  <w:t>签订合同付（预付）0%，物资到货（服务完成）验收后付95%,</w:t>
      </w:r>
      <w:r>
        <w:rPr>
          <w:rFonts w:hint="eastAsia" w:ascii="宋体" w:hAnsi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  <w:t>质量保证金</w:t>
      </w:r>
      <w:r>
        <w:rPr>
          <w:rFonts w:hint="eastAsia" w:ascii="宋体" w:hAnsi="宋体" w:eastAsia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  <w:t>5%</w:t>
      </w:r>
      <w:r>
        <w:rPr>
          <w:rFonts w:hint="eastAsia" w:ascii="宋体" w:hAnsi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  <w:t>。</w:t>
      </w:r>
    </w:p>
    <w:p>
      <w:pPr>
        <w:numPr>
          <w:ilvl w:val="0"/>
          <w:numId w:val="2"/>
        </w:numPr>
        <w:ind w:firstLine="560" w:firstLineChars="200"/>
        <w:rPr>
          <w:rFonts w:hint="eastAsia" w:ascii="宋体" w:hAnsi="宋体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highlight w:val="none"/>
          <w:lang w:val="en-US" w:eastAsia="zh-CN"/>
        </w:rPr>
        <w:t>其他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0" w:firstLineChars="200"/>
        <w:textAlignment w:val="auto"/>
        <w:rPr>
          <w:rFonts w:hint="default" w:ascii="Times New Roman" w:hAnsi="宋体" w:eastAsia="宋体" w:cs="Times New Roman"/>
          <w:bCs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Times New Roman" w:hAnsi="宋体" w:eastAsia="宋体" w:cs="Times New Roman"/>
          <w:bCs/>
          <w:kern w:val="0"/>
          <w:sz w:val="28"/>
          <w:szCs w:val="28"/>
          <w:highlight w:val="none"/>
          <w:lang w:val="en-US" w:eastAsia="zh-CN" w:bidi="ar-SA"/>
        </w:rPr>
        <w:t>专用工具，备品备件：厂家自报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0" w:firstLineChars="200"/>
        <w:textAlignment w:val="auto"/>
        <w:rPr>
          <w:rFonts w:hint="eastAsia" w:ascii="Times New Roman" w:hAnsi="宋体" w:eastAsia="宋体" w:cs="Times New Roman"/>
          <w:bCs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Times New Roman" w:hAnsi="宋体" w:eastAsia="宋体" w:cs="Times New Roman"/>
          <w:bCs/>
          <w:kern w:val="0"/>
          <w:sz w:val="28"/>
          <w:szCs w:val="28"/>
          <w:highlight w:val="none"/>
          <w:lang w:val="en-US" w:eastAsia="zh-CN" w:bidi="ar-SA"/>
        </w:rPr>
        <w:t>质量保证：自设备验收调试完成之日起算，提供产品的原厂不少于3年质保。供应商对提供的设备在质保期内维修维护费用全免，人为损坏除外。供应商对提供的货物在质保期内，因质量问题而导致的缺陷，必须免费提供包修、包换、包退服务。超出质保期后，供应商应当提供上门维修服务，免人工费只收取零配件的费用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0" w:firstLineChars="200"/>
        <w:textAlignment w:val="auto"/>
        <w:rPr>
          <w:rFonts w:hint="eastAsia" w:ascii="Times New Roman" w:hAnsi="宋体" w:eastAsia="宋体" w:cs="Times New Roman"/>
          <w:bCs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Times New Roman" w:hAnsi="宋体" w:eastAsia="宋体" w:cs="Times New Roman"/>
          <w:bCs/>
          <w:kern w:val="0"/>
          <w:sz w:val="28"/>
          <w:szCs w:val="28"/>
          <w:highlight w:val="none"/>
          <w:lang w:val="en-US" w:eastAsia="zh-CN" w:bidi="ar-SA"/>
        </w:rPr>
        <w:t>售后服务：产品送货上门“交钥匙</w:t>
      </w:r>
      <w:r>
        <w:rPr>
          <w:rFonts w:hint="default" w:ascii="Times New Roman" w:hAnsi="宋体" w:eastAsia="宋体" w:cs="Times New Roman"/>
          <w:bCs/>
          <w:kern w:val="0"/>
          <w:sz w:val="28"/>
          <w:szCs w:val="28"/>
          <w:highlight w:val="none"/>
          <w:lang w:val="en-US" w:eastAsia="zh-CN" w:bidi="ar-SA"/>
        </w:rPr>
        <w:t>”</w:t>
      </w:r>
      <w:r>
        <w:rPr>
          <w:rFonts w:hint="eastAsia" w:ascii="Times New Roman" w:hAnsi="宋体" w:eastAsia="宋体" w:cs="Times New Roman"/>
          <w:bCs/>
          <w:kern w:val="0"/>
          <w:sz w:val="28"/>
          <w:szCs w:val="28"/>
          <w:highlight w:val="none"/>
          <w:lang w:val="en-US" w:eastAsia="zh-CN" w:bidi="ar-SA"/>
        </w:rPr>
        <w:t>，现场安装、调试、确保设备正常运行。质保期外，免人工费，只收取零配件的费用。供应商须承诺履行军事保密义务，在军事行动中提供应急支援保障服务，服务内容包括由投标人自行拟制保障服务内容。投标供应商须提供该产品的技术培训、技术支持和维修巡检服务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0" w:firstLineChars="200"/>
        <w:textAlignment w:val="auto"/>
        <w:rPr>
          <w:rFonts w:hint="eastAsia" w:ascii="Times New Roman" w:hAnsi="宋体" w:eastAsia="宋体" w:cs="Times New Roman"/>
          <w:bCs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Times New Roman" w:hAnsi="宋体" w:eastAsia="宋体" w:cs="Times New Roman"/>
          <w:bCs/>
          <w:kern w:val="0"/>
          <w:sz w:val="28"/>
          <w:szCs w:val="28"/>
          <w:highlight w:val="none"/>
          <w:lang w:val="en-US" w:eastAsia="zh-CN" w:bidi="ar-SA"/>
        </w:rPr>
        <w:t>报价要求及保险：报价为含税价格，包含货物到达项目现场的所有费用，包括制造或组装货物所使用的部件和原材料，以及货物本身已缴纳或者应缴纳的营业税、销售税和其他税费、关税、增值税、运输费、保险费和货物运抵项目现场所产生的其他费用、货物本身必须的备件、附件和专用工具、技术文件费、负责进口货物及海关报关、通关等费用；安装、调试、验收费用；培训费；维修服务和技术支持费。</w:t>
      </w:r>
    </w:p>
    <w:p>
      <w:pPr>
        <w:rPr>
          <w:rFonts w:hint="default" w:ascii="宋体" w:hAnsi="宋体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highlight w:val="none"/>
          <w:lang w:val="en-US" w:eastAsia="zh-CN"/>
        </w:rPr>
        <w:br w:type="page"/>
      </w:r>
    </w:p>
    <w:p>
      <w:pPr>
        <w:pStyle w:val="3"/>
        <w:numPr>
          <w:ilvl w:val="0"/>
          <w:numId w:val="3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highlight w:val="none"/>
        </w:rPr>
      </w:pPr>
      <w:bookmarkStart w:id="11" w:name="_Toc128397970"/>
      <w:bookmarkStart w:id="12" w:name="_Toc130887500"/>
      <w:bookmarkStart w:id="13" w:name="_Toc128151027"/>
      <w:bookmarkStart w:id="14" w:name="_Toc127820564"/>
      <w:bookmarkStart w:id="15" w:name="_Toc128150134"/>
      <w:bookmarkStart w:id="16" w:name="_Toc132190634"/>
      <w:bookmarkStart w:id="17" w:name="_Toc128150778"/>
      <w:r>
        <w:rPr>
          <w:rFonts w:hint="eastAsia" w:ascii="黑体" w:hAnsi="黑体" w:cs="黑体"/>
          <w:b w:val="0"/>
          <w:sz w:val="28"/>
          <w:szCs w:val="28"/>
          <w:highlight w:val="none"/>
        </w:rPr>
        <w:t>技术要求</w:t>
      </w:r>
      <w:bookmarkEnd w:id="11"/>
      <w:bookmarkEnd w:id="12"/>
      <w:bookmarkEnd w:id="13"/>
      <w:bookmarkEnd w:id="14"/>
      <w:bookmarkEnd w:id="15"/>
      <w:bookmarkEnd w:id="16"/>
      <w:bookmarkEnd w:id="17"/>
    </w:p>
    <w:p>
      <w:pPr>
        <w:rPr>
          <w:rFonts w:hint="eastAsia"/>
          <w:b w:val="0"/>
          <w:szCs w:val="44"/>
          <w:highlight w:val="none"/>
          <w:lang w:val="zh-CN"/>
        </w:rPr>
      </w:pPr>
    </w:p>
    <w:tbl>
      <w:tblPr>
        <w:tblStyle w:val="5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3"/>
        <w:gridCol w:w="1077"/>
        <w:gridCol w:w="712"/>
        <w:gridCol w:w="577"/>
        <w:gridCol w:w="1044"/>
        <w:gridCol w:w="1174"/>
        <w:gridCol w:w="1445"/>
        <w:gridCol w:w="146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5000" w:type="pct"/>
            <w:gridSpan w:val="8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医疗设备技术需求确认表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141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自动清洗消毒机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总数量（台/套）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预算总金额（万元）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149.4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技术和性能参数名称</w:t>
            </w:r>
          </w:p>
        </w:tc>
        <w:tc>
          <w:tcPr>
            <w:tcW w:w="25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招标参数和性能要求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*1</w:t>
            </w:r>
          </w:p>
        </w:tc>
        <w:tc>
          <w:tcPr>
            <w:tcW w:w="10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25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对手术器械、换药碗、玻璃器皿、等进行清洗和消毒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*2.1</w:t>
            </w:r>
          </w:p>
        </w:tc>
        <w:tc>
          <w:tcPr>
            <w:tcW w:w="10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具有CFDA认证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·2.2</w:t>
            </w:r>
          </w:p>
        </w:tc>
        <w:tc>
          <w:tcPr>
            <w:tcW w:w="10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具有FDA和CE认证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25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</w:t>
            </w:r>
          </w:p>
        </w:tc>
        <w:tc>
          <w:tcPr>
            <w:tcW w:w="10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腔体容积</w:t>
            </w:r>
          </w:p>
        </w:tc>
        <w:tc>
          <w:tcPr>
            <w:tcW w:w="25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可用腔体容积≥260L,需提供内腔尺寸证明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*3.2</w:t>
            </w:r>
          </w:p>
        </w:tc>
        <w:tc>
          <w:tcPr>
            <w:tcW w:w="10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一次可清洗的器械量与时间</w:t>
            </w:r>
          </w:p>
        </w:tc>
        <w:tc>
          <w:tcPr>
            <w:tcW w:w="25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每批次处理标准器械托盘数量≥8个，器械托盘尺寸≥585x285x65mm,器械加层架最大载装重量≥40kg。器械清洗消毒循环时间≤30分钟。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第三方检测机构出具的检测报告或卫生安全评价报告或实物图片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</w:t>
            </w:r>
          </w:p>
        </w:tc>
        <w:tc>
          <w:tcPr>
            <w:tcW w:w="10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漂洗、热力消毒功能 </w:t>
            </w:r>
          </w:p>
        </w:tc>
        <w:tc>
          <w:tcPr>
            <w:tcW w:w="25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符合EN ISO15883 标准，具备卫生安全评价报告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</w:t>
            </w:r>
          </w:p>
        </w:tc>
        <w:tc>
          <w:tcPr>
            <w:tcW w:w="10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腔体材质</w:t>
            </w:r>
          </w:p>
        </w:tc>
        <w:tc>
          <w:tcPr>
            <w:tcW w:w="25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材质要求为优于304L不锈钢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*3.5</w:t>
            </w:r>
          </w:p>
        </w:tc>
        <w:tc>
          <w:tcPr>
            <w:tcW w:w="10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门的结构与功能</w:t>
            </w:r>
          </w:p>
        </w:tc>
        <w:tc>
          <w:tcPr>
            <w:tcW w:w="25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双门互锁功能。手动下拉门，平置状态可作为清洗层架承载平台，门的开启、关闭及密封无需使用压缩空气。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第三方检测机构出具的检测报告或卫生安全评价报告或实物图片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*3.6</w:t>
            </w:r>
          </w:p>
        </w:tc>
        <w:tc>
          <w:tcPr>
            <w:tcW w:w="10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进水系统</w:t>
            </w:r>
          </w:p>
        </w:tc>
        <w:tc>
          <w:tcPr>
            <w:tcW w:w="25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清洗层架进水方式为底部进水，用水压密封，无机械损耗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第三方检测机构出具的检测报告或卫生安全评价报告或实物图片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</w:t>
            </w:r>
          </w:p>
        </w:tc>
        <w:tc>
          <w:tcPr>
            <w:tcW w:w="10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排水系统</w:t>
            </w:r>
          </w:p>
        </w:tc>
        <w:tc>
          <w:tcPr>
            <w:tcW w:w="25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配有冷水冷凝器，可以自动加入冷水，降低排水温度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</w:t>
            </w:r>
          </w:p>
        </w:tc>
        <w:tc>
          <w:tcPr>
            <w:tcW w:w="10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排水温度</w:t>
            </w:r>
          </w:p>
        </w:tc>
        <w:tc>
          <w:tcPr>
            <w:tcW w:w="25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排放温度≤60℃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</w:t>
            </w:r>
          </w:p>
        </w:tc>
        <w:tc>
          <w:tcPr>
            <w:tcW w:w="10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控制系统与记录系统独立</w:t>
            </w:r>
          </w:p>
        </w:tc>
        <w:tc>
          <w:tcPr>
            <w:tcW w:w="25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具备自动记录和打印功能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·3.10</w:t>
            </w:r>
          </w:p>
        </w:tc>
        <w:tc>
          <w:tcPr>
            <w:tcW w:w="10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信息采集导出系统</w:t>
            </w:r>
          </w:p>
        </w:tc>
        <w:tc>
          <w:tcPr>
            <w:tcW w:w="25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面板具备USB接口，用于清洗消毒器工作参数等记录数据的导出。提供实物照片。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第三方检测机构出具的检测报告或卫生安全评价报告或实物图片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3.11</w:t>
            </w:r>
          </w:p>
        </w:tc>
        <w:tc>
          <w:tcPr>
            <w:tcW w:w="10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清洗剂自动加入泵</w:t>
            </w:r>
          </w:p>
        </w:tc>
        <w:tc>
          <w:tcPr>
            <w:tcW w:w="25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≥3个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3.12</w:t>
            </w:r>
          </w:p>
        </w:tc>
        <w:tc>
          <w:tcPr>
            <w:tcW w:w="10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加液桶</w:t>
            </w:r>
          </w:p>
        </w:tc>
        <w:tc>
          <w:tcPr>
            <w:tcW w:w="25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≥2个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*3.13</w:t>
            </w:r>
          </w:p>
        </w:tc>
        <w:tc>
          <w:tcPr>
            <w:tcW w:w="10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清洗架的结构</w:t>
            </w:r>
          </w:p>
        </w:tc>
        <w:tc>
          <w:tcPr>
            <w:tcW w:w="25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整体结构，不可拆卸，避免漏气漏水；清洗层架长宽比为1:1，需提供清洗层架尺寸的技术文件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第三方检测机构出具的检测报告或卫生安全评价报告或实物图片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3.14</w:t>
            </w:r>
          </w:p>
        </w:tc>
        <w:tc>
          <w:tcPr>
            <w:tcW w:w="10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空气过滤</w:t>
            </w:r>
          </w:p>
        </w:tc>
        <w:tc>
          <w:tcPr>
            <w:tcW w:w="25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需要HEPA-filter，过滤效率≥99.99%，空气过滤器两端具有实时的压差监控系统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3.15</w:t>
            </w:r>
          </w:p>
        </w:tc>
        <w:tc>
          <w:tcPr>
            <w:tcW w:w="10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每阶段的耗水量</w:t>
            </w:r>
          </w:p>
        </w:tc>
        <w:tc>
          <w:tcPr>
            <w:tcW w:w="25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根据装载量自动调节进水量，每阶段最大耗水量≤35L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3.16</w:t>
            </w:r>
          </w:p>
        </w:tc>
        <w:tc>
          <w:tcPr>
            <w:tcW w:w="10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工作程序预设</w:t>
            </w:r>
          </w:p>
        </w:tc>
        <w:tc>
          <w:tcPr>
            <w:tcW w:w="25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≥4个预设循环，≥100个可自编程序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3.17</w:t>
            </w:r>
          </w:p>
        </w:tc>
        <w:tc>
          <w:tcPr>
            <w:tcW w:w="10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显示（温度、时间）</w:t>
            </w:r>
          </w:p>
        </w:tc>
        <w:tc>
          <w:tcPr>
            <w:tcW w:w="25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≥5.5英寸大屏液晶显示器显示工作程序、温度、时间、压力和整个工作过程的各项参数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3.18</w:t>
            </w:r>
          </w:p>
        </w:tc>
        <w:tc>
          <w:tcPr>
            <w:tcW w:w="10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消毒水平</w:t>
            </w:r>
          </w:p>
        </w:tc>
        <w:tc>
          <w:tcPr>
            <w:tcW w:w="25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A0值可调，可调范围≥（600-12000）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*3.19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工作条件</w:t>
            </w:r>
          </w:p>
        </w:tc>
        <w:tc>
          <w:tcPr>
            <w:tcW w:w="42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整机工作时无需使用压缩空气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第三方检测机构出具的检测报告或卫生安全评价报告或实物图片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·3.20</w:t>
            </w:r>
          </w:p>
        </w:tc>
        <w:tc>
          <w:tcPr>
            <w:tcW w:w="10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外形尺寸（宽x高x深mm）</w:t>
            </w:r>
          </w:p>
        </w:tc>
        <w:tc>
          <w:tcPr>
            <w:tcW w:w="25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≤750x2000x750mm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第三方检测机构出具的检测报告或卫生安全评价报告或实物图片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*3.21</w:t>
            </w:r>
          </w:p>
        </w:tc>
        <w:tc>
          <w:tcPr>
            <w:tcW w:w="10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装载高度</w:t>
            </w:r>
          </w:p>
        </w:tc>
        <w:tc>
          <w:tcPr>
            <w:tcW w:w="25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距地≤760mm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第三方检测机构出具的检测报告或卫生安全评价报告或实物图片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3.22</w:t>
            </w:r>
          </w:p>
        </w:tc>
        <w:tc>
          <w:tcPr>
            <w:tcW w:w="10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25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设备指标异常提示和安全报警声、光指示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*4</w:t>
            </w:r>
          </w:p>
        </w:tc>
        <w:tc>
          <w:tcPr>
            <w:tcW w:w="10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25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</w:t>
            </w:r>
          </w:p>
        </w:tc>
        <w:tc>
          <w:tcPr>
            <w:tcW w:w="10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数据采集系统</w:t>
            </w:r>
          </w:p>
        </w:tc>
        <w:tc>
          <w:tcPr>
            <w:tcW w:w="25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1套/台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</w:t>
            </w:r>
          </w:p>
        </w:tc>
        <w:tc>
          <w:tcPr>
            <w:tcW w:w="10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硬件</w:t>
            </w:r>
          </w:p>
        </w:tc>
        <w:tc>
          <w:tcPr>
            <w:tcW w:w="25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每台（套）包含：清洗消毒机主机1台，装卸载车各1个、清洗架2个、装卸载篮筐20个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2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加注“*”号的技术指标为关键指标，≥1项未达到招标文件要求，即做废标处理。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2.加注“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”号的技术指标为重要指标。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3.加注“*”、“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”号的技术指标均需投标企业提供证明材料。</w:t>
            </w:r>
          </w:p>
        </w:tc>
      </w:tr>
    </w:tbl>
    <w:p>
      <w:bookmarkStart w:id="18" w:name="_GoBack"/>
      <w:bookmarkEnd w:id="1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0DC234"/>
    <w:multiLevelType w:val="singleLevel"/>
    <w:tmpl w:val="9F0DC23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4B88EB3"/>
    <w:multiLevelType w:val="singleLevel"/>
    <w:tmpl w:val="34B88EB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A6E249F"/>
    <w:multiLevelType w:val="singleLevel"/>
    <w:tmpl w:val="7A6E249F"/>
    <w:lvl w:ilvl="0" w:tentative="0">
      <w:start w:val="7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D7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2024-11-22T07:14:41Z</dcterms:created>
  <dc:creator>admin</dc:creator>
  <cp:lastModifiedBy>admin</cp:lastModifiedBy>
  <dcterms:modified xsi:type="dcterms:W3CDTF">2024-11-22T07:15:27Z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