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rPr>
          <w:rFonts w:hint="eastAsia" w:ascii="黑体" w:hAnsi="黑体" w:cs="黑体"/>
          <w:b w:val="0"/>
          <w:sz w:val="28"/>
          <w:szCs w:val="28"/>
          <w:lang w:eastAsia="zh-CN"/>
        </w:rPr>
      </w:pPr>
      <w:bookmarkStart w:id="0" w:name="_Toc22977"/>
      <w:bookmarkStart w:id="1" w:name="_Toc13753"/>
      <w:bookmarkStart w:id="2" w:name="_Toc112681847"/>
      <w:bookmarkStart w:id="3" w:name="_Toc21712"/>
      <w:bookmarkStart w:id="4" w:name="_Toc14060"/>
      <w:bookmarkStart w:id="5" w:name="_Toc32238"/>
      <w:bookmarkStart w:id="6" w:name="_Toc128470294"/>
      <w:bookmarkStart w:id="7" w:name="_Toc112768493"/>
      <w:bookmarkStart w:id="8" w:name="_Toc22203"/>
      <w:bookmarkStart w:id="9" w:name="_Toc13168"/>
      <w:bookmarkStart w:id="10" w:name="_Toc17189"/>
      <w:bookmarkStart w:id="11" w:name="_Toc25325"/>
      <w:bookmarkStart w:id="12" w:name="_Toc132191258"/>
      <w:bookmarkStart w:id="13" w:name="_Toc130888006"/>
      <w:bookmarkStart w:id="14" w:name="_Toc132186974"/>
      <w:bookmarkStart w:id="15" w:name="_Toc128154367"/>
      <w:r>
        <w:rPr>
          <w:rFonts w:hint="eastAsia" w:ascii="黑体" w:hAnsi="黑体" w:cs="黑体"/>
          <w:b w:val="0"/>
          <w:sz w:val="28"/>
          <w:szCs w:val="28"/>
          <w:highlight w:val="none"/>
        </w:rPr>
        <w:t>一、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</w:t>
      </w:r>
      <w:r>
        <w:rPr>
          <w:rFonts w:hint="eastAsia" w:ascii="黑体" w:hAnsi="黑体" w:cs="黑体"/>
          <w:b w:val="0"/>
          <w:sz w:val="28"/>
          <w:szCs w:val="28"/>
          <w:lang w:val="en-US" w:eastAsia="zh-CN"/>
        </w:rPr>
        <w:t>(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一</w:t>
      </w:r>
      <w:r>
        <w:rPr>
          <w:rFonts w:hint="eastAsia" w:ascii="黑体" w:hAnsi="黑体" w:cs="黑体"/>
          <w:b w:val="0"/>
          <w:sz w:val="28"/>
          <w:szCs w:val="28"/>
          <w:lang w:val="en-US" w:eastAsia="zh-CN"/>
        </w:rPr>
        <w:t>)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、</w:t>
      </w:r>
      <w:r>
        <w:rPr>
          <w:rFonts w:hint="eastAsia" w:ascii="黑体" w:hAnsi="黑体" w:cs="黑体"/>
          <w:b w:val="0"/>
          <w:sz w:val="28"/>
          <w:szCs w:val="28"/>
          <w:lang w:val="en-US" w:eastAsia="zh-CN"/>
        </w:rPr>
        <w:t>(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二</w:t>
      </w:r>
      <w:r>
        <w:rPr>
          <w:rFonts w:hint="eastAsia" w:ascii="黑体" w:hAnsi="黑体" w:cs="黑体"/>
          <w:b w:val="0"/>
          <w:sz w:val="28"/>
          <w:szCs w:val="28"/>
          <w:lang w:val="en-US" w:eastAsia="zh-CN"/>
        </w:rPr>
        <w:t>)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、</w:t>
      </w:r>
      <w:r>
        <w:rPr>
          <w:rFonts w:hint="eastAsia" w:ascii="黑体" w:hAnsi="黑体" w:cs="黑体"/>
          <w:b w:val="0"/>
          <w:sz w:val="28"/>
          <w:szCs w:val="28"/>
          <w:lang w:val="en-US" w:eastAsia="zh-CN"/>
        </w:rPr>
        <w:t>(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三</w:t>
      </w:r>
      <w:r>
        <w:rPr>
          <w:rFonts w:hint="eastAsia" w:ascii="黑体" w:hAnsi="黑体" w:cs="黑体"/>
          <w:b w:val="0"/>
          <w:sz w:val="28"/>
          <w:szCs w:val="28"/>
          <w:lang w:val="en-US" w:eastAsia="zh-CN"/>
        </w:rPr>
        <w:t>)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均为实质性响应条款，不接受负偏离）</w:t>
      </w:r>
    </w:p>
    <w:p>
      <w:pPr>
        <w:rPr>
          <w:rFonts w:hint="default"/>
          <w:lang w:val="en-US"/>
        </w:rPr>
      </w:pPr>
      <w:r>
        <w:rPr>
          <w:rFonts w:hint="eastAsia" w:ascii="黑体" w:hAnsi="黑体" w:cs="黑体"/>
          <w:b/>
          <w:bCs/>
          <w:sz w:val="28"/>
          <w:szCs w:val="28"/>
          <w:lang w:eastAsia="zh-CN"/>
        </w:rPr>
        <w:t>（一）经济要求：</w:t>
      </w:r>
    </w:p>
    <w:tbl>
      <w:tblPr>
        <w:tblStyle w:val="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2004"/>
        <w:gridCol w:w="4963"/>
        <w:gridCol w:w="12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4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合同签订后3个月内交付，交付地点由甲方指定。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2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4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物资到货（服务完成）验收合格后付100%。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履约保证金/质量保证金</w:t>
            </w:r>
          </w:p>
        </w:tc>
        <w:tc>
          <w:tcPr>
            <w:tcW w:w="4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无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4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4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保修年限不低于3年，全年故障停机时间不高于5%（按365日/年计算)。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4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4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提供不少于1人次、1天的工程师维修培训。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8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4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维修响应时间≤2小时，维修到达现场时间≤8小时。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</w:tbl>
    <w:p>
      <w:pPr>
        <w:pStyle w:val="7"/>
        <w:spacing w:line="560" w:lineRule="exact"/>
        <w:ind w:left="0" w:leftChars="0" w:firstLine="0" w:firstLineChars="0"/>
        <w:rPr>
          <w:rFonts w:hint="eastAsia" w:ascii="黑体" w:hAnsi="黑体" w:eastAsia="宋体" w:cs="黑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宋体" w:cs="黑体"/>
          <w:b/>
          <w:bCs/>
          <w:kern w:val="2"/>
          <w:sz w:val="28"/>
          <w:szCs w:val="28"/>
          <w:lang w:val="zh-CN" w:eastAsia="zh-CN" w:bidi="ar-SA"/>
        </w:rPr>
        <w:t>（</w:t>
      </w:r>
      <w:r>
        <w:rPr>
          <w:rFonts w:hint="eastAsia" w:ascii="黑体" w:hAnsi="黑体" w:cs="黑体"/>
          <w:b/>
          <w:bCs/>
          <w:kern w:val="2"/>
          <w:sz w:val="28"/>
          <w:szCs w:val="28"/>
          <w:lang w:val="en-US" w:eastAsia="zh-CN" w:bidi="ar-SA"/>
        </w:rPr>
        <w:t>二</w:t>
      </w:r>
      <w:r>
        <w:rPr>
          <w:rFonts w:hint="eastAsia" w:ascii="黑体" w:hAnsi="黑体" w:eastAsia="宋体" w:cs="黑体"/>
          <w:b/>
          <w:bCs/>
          <w:kern w:val="2"/>
          <w:sz w:val="28"/>
          <w:szCs w:val="28"/>
          <w:lang w:val="en-US" w:eastAsia="zh-CN" w:bidi="ar-SA"/>
        </w:rPr>
        <w:t>）知识产权和保密要求</w:t>
      </w:r>
      <w:r>
        <w:rPr>
          <w:rFonts w:hint="eastAsia" w:ascii="黑体" w:hAnsi="黑体" w:cs="黑体"/>
          <w:b/>
          <w:bCs/>
          <w:kern w:val="2"/>
          <w:sz w:val="28"/>
          <w:szCs w:val="28"/>
          <w:lang w:val="en-US" w:eastAsia="zh-CN" w:bidi="ar-SA"/>
        </w:rPr>
        <w:t>：</w:t>
      </w:r>
    </w:p>
    <w:p>
      <w:pPr>
        <w:pStyle w:val="7"/>
        <w:spacing w:line="560" w:lineRule="exact"/>
        <w:ind w:firstLine="560"/>
        <w:rPr>
          <w:bCs/>
          <w:color w:val="auto"/>
          <w:sz w:val="28"/>
          <w:szCs w:val="28"/>
          <w:highlight w:val="none"/>
          <w:u w:val="singl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u w:val="single"/>
          <w:lang w:val="zh-CN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  <w:u w:val="single"/>
        </w:rPr>
        <w:t>材料</w:t>
      </w:r>
      <w:r>
        <w:rPr>
          <w:rFonts w:hint="eastAsia"/>
          <w:bCs/>
          <w:color w:val="auto"/>
          <w:sz w:val="28"/>
          <w:szCs w:val="28"/>
          <w:highlight w:val="none"/>
          <w:u w:val="single"/>
          <w:lang w:val="zh-CN"/>
        </w:rPr>
        <w:t>。</w:t>
      </w:r>
    </w:p>
    <w:p>
      <w:pPr>
        <w:pStyle w:val="7"/>
        <w:spacing w:line="560" w:lineRule="exact"/>
        <w:ind w:firstLine="560"/>
        <w:rPr>
          <w:bCs/>
          <w:color w:val="auto"/>
          <w:sz w:val="28"/>
          <w:szCs w:val="28"/>
          <w:highlight w:val="none"/>
          <w:u w:val="singl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u w:val="single"/>
          <w:lang w:val="zh-CN"/>
        </w:rPr>
        <w:t>基于项目合同履行形成的知识产权和其他权益，其权属归采购单位所有，法律另有规定的除外。</w:t>
      </w:r>
    </w:p>
    <w:p>
      <w:pPr>
        <w:pStyle w:val="7"/>
        <w:spacing w:line="560" w:lineRule="exact"/>
        <w:ind w:left="0" w:leftChars="0" w:firstLine="0" w:firstLineChars="0"/>
        <w:rPr>
          <w:rFonts w:hint="eastAsia" w:ascii="黑体" w:hAnsi="黑体" w:eastAsia="宋体" w:cs="黑体"/>
          <w:b/>
          <w:bCs/>
          <w:kern w:val="2"/>
          <w:sz w:val="28"/>
          <w:szCs w:val="28"/>
          <w:lang w:val="zh-CN" w:eastAsia="zh-CN" w:bidi="ar-SA"/>
        </w:rPr>
      </w:pPr>
      <w:r>
        <w:rPr>
          <w:rFonts w:hint="eastAsia" w:ascii="黑体" w:hAnsi="黑体" w:eastAsia="宋体" w:cs="黑体"/>
          <w:b/>
          <w:bCs/>
          <w:kern w:val="2"/>
          <w:sz w:val="28"/>
          <w:szCs w:val="28"/>
          <w:lang w:val="zh-CN" w:eastAsia="zh-CN" w:bidi="ar-SA"/>
        </w:rPr>
        <w:t>（</w:t>
      </w:r>
      <w:r>
        <w:rPr>
          <w:rFonts w:hint="eastAsia" w:ascii="黑体" w:hAnsi="黑体" w:cs="黑体"/>
          <w:b/>
          <w:bCs/>
          <w:kern w:val="2"/>
          <w:sz w:val="28"/>
          <w:szCs w:val="28"/>
          <w:lang w:val="zh-CN" w:eastAsia="zh-CN" w:bidi="ar-SA"/>
        </w:rPr>
        <w:t>三</w:t>
      </w:r>
      <w:r>
        <w:rPr>
          <w:rFonts w:hint="eastAsia" w:ascii="黑体" w:hAnsi="黑体" w:eastAsia="宋体" w:cs="黑体"/>
          <w:b/>
          <w:bCs/>
          <w:kern w:val="2"/>
          <w:sz w:val="28"/>
          <w:szCs w:val="28"/>
          <w:lang w:val="zh-CN" w:eastAsia="zh-CN" w:bidi="ar-SA"/>
        </w:rPr>
        <w:t>）物资编目编码、打码贴签要求</w:t>
      </w:r>
      <w:r>
        <w:rPr>
          <w:rFonts w:hint="eastAsia" w:ascii="黑体" w:hAnsi="黑体" w:cs="黑体"/>
          <w:b/>
          <w:bCs/>
          <w:kern w:val="2"/>
          <w:sz w:val="28"/>
          <w:szCs w:val="28"/>
          <w:lang w:val="zh-CN" w:eastAsia="zh-CN" w:bidi="ar-SA"/>
        </w:rPr>
        <w:t>：</w:t>
      </w:r>
    </w:p>
    <w:p>
      <w:pPr>
        <w:pStyle w:val="7"/>
        <w:spacing w:line="560" w:lineRule="exact"/>
        <w:ind w:firstLine="560"/>
        <w:rPr>
          <w:rFonts w:ascii="宋体" w:hAnsi="宋体"/>
          <w:bCs/>
          <w:color w:val="auto"/>
          <w:sz w:val="28"/>
          <w:szCs w:val="28"/>
          <w:highlight w:val="none"/>
          <w:u w:val="single"/>
          <w:lang w:val="zh-CN"/>
        </w:rPr>
      </w:pPr>
      <w:r>
        <w:rPr>
          <w:rFonts w:hint="eastAsia" w:ascii="宋体" w:hAnsi="宋体"/>
          <w:bCs/>
          <w:color w:val="auto"/>
          <w:sz w:val="28"/>
          <w:szCs w:val="28"/>
          <w:highlight w:val="none"/>
          <w:u w:val="single"/>
          <w:lang w:val="zh-CN"/>
        </w:rPr>
        <w:t>本项目对物资的编目编码、打码贴签要求，投标供应商应当予以明确响应，相关费用包含在报价中。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/>
        <w:textAlignment w:val="auto"/>
        <w:rPr>
          <w:rFonts w:hint="eastAsia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en-US" w:eastAsia="zh-CN"/>
        </w:rPr>
        <w:br w:type="page"/>
      </w:r>
    </w:p>
    <w:p>
      <w:pPr>
        <w:pStyle w:val="4"/>
        <w:numPr>
          <w:ilvl w:val="0"/>
          <w:numId w:val="0"/>
        </w:numPr>
        <w:spacing w:before="0" w:after="0" w:line="560" w:lineRule="exact"/>
        <w:outlineLvl w:val="1"/>
        <w:rPr>
          <w:rFonts w:hint="eastAsia" w:ascii="黑体" w:hAnsi="黑体" w:eastAsia="方正小标宋简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</w:pPr>
      <w:bookmarkStart w:id="16" w:name="_Toc127820564"/>
      <w:bookmarkStart w:id="17" w:name="_Toc130887500"/>
      <w:bookmarkStart w:id="18" w:name="_Toc128397970"/>
      <w:bookmarkStart w:id="19" w:name="_Toc128150134"/>
      <w:bookmarkStart w:id="20" w:name="_Toc17887"/>
      <w:bookmarkStart w:id="21" w:name="_Toc128151027"/>
      <w:bookmarkStart w:id="22" w:name="_Toc132190634"/>
      <w:bookmarkStart w:id="23" w:name="_Toc128150778"/>
      <w:r>
        <w:rPr>
          <w:rFonts w:hint="eastAsia" w:ascii="黑体" w:hAnsi="黑体" w:eastAsia="方正小标宋简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  <w:t>二、技术要求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>
      <w:pPr>
        <w:pStyle w:val="2"/>
        <w:rPr>
          <w:rFonts w:ascii="宋体" w:hAnsi="宋体"/>
          <w:bCs/>
          <w:snapToGrid w:val="0"/>
          <w:color w:val="auto"/>
          <w:sz w:val="28"/>
          <w:szCs w:val="28"/>
        </w:rPr>
      </w:pPr>
    </w:p>
    <w:tbl>
      <w:tblPr>
        <w:tblStyle w:val="5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192"/>
        <w:gridCol w:w="978"/>
        <w:gridCol w:w="3323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7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项目名称</w:t>
            </w:r>
          </w:p>
        </w:tc>
        <w:tc>
          <w:tcPr>
            <w:tcW w:w="52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多功能清洗机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需求名称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性质</w:t>
            </w:r>
          </w:p>
        </w:tc>
        <w:tc>
          <w:tcPr>
            <w:tcW w:w="43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90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全自动完成清洁、消毒、漂洗、干燥过程。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说明书或技术白皮书或宣传彩页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具备CFDA认证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注册证或相关认证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清洗舱有效容积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≥520L，可装载≥15个DIN标准器械托盘 (480*250*50mm)。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说明书或技术白皮书或宣传彩页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清洗时间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快速程序≤30分钟；标准程序≤40分钟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说明书或技术白皮书或宣传彩页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加热方式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具备汽电双能模式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说明书或技术白皮书或宣传彩页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加液泵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数量≥2个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程序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≥10个内置程序；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水耗量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水耗量≤25L/步，标准清洗流程耗水量≤120L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说明书或技术白皮书或宣传彩页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喷臂数量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每层须配置≥1个喷臂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说明书或技术白皮书或宣传彩页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故障诊断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具备故障诊断功能，故障代码显示报警，故障声音报警和故障记录功能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说明书或技术白皮书或宣传彩页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材质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清洗舱、清洗架及标准器械托盘均采用的SUS316L不锈钢或更高规格材质制成，柜体机架支撑结构和外罩机壳均采用SUS304不锈钢或更高规格材质制成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说明书或技术白皮书或宣传彩页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清洗舱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清洗舱顶部须配有照明灯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13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保护装置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具备水压检测的压力开关、循环风机、循环水泵、加热器超温监测的过载保护装置和开关门自动避障保护装置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说明书或技术白皮书或宣传彩页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14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显示及存储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≥6英寸触摸屏，可存储≥3年的过程数据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15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多酶清洗液效果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提供第三方检测机构出具的证明多酶清洗液的清洗效果的检测报告。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16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清洗效果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提供第三方检测机构出具的整机清洗效果检测报告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17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共2台，单台配置如下：主机1台、推车2台、器械清洗架1个、麻醉呼吸管路清洗架1个或硬镜清洗架1个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▲标识的指标负偏离≥7项，投标企业技术分值为0分</w:t>
            </w:r>
          </w:p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▲标识的指标和“无标识”指标负偏离≥13项，投标企业技术分值为0分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指标为必须响应指标，任意一项不满足要求即做无效投标处理；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标识的指标为重要指标；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标识的指标需按照采购需求表（物资类）备注中明确的要求提供相关证明材料。</w:t>
            </w:r>
          </w:p>
        </w:tc>
      </w:tr>
    </w:tbl>
    <w:p>
      <w:bookmarkStart w:id="24" w:name="_GoBack"/>
      <w:bookmarkEnd w:id="2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53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2024-12-09T00:15:55Z</dcterms:created>
  <dc:creator>DOCTOR</dc:creator>
  <cp:lastModifiedBy>DOCTOR</cp:lastModifiedBy>
  <dcterms:modified xsi:type="dcterms:W3CDTF">2024-12-09T00:16:23Z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