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eastAsia="宋体"/>
          <w:lang w:eastAsia="zh-CN"/>
        </w:rPr>
      </w:pPr>
      <w:bookmarkStart w:id="0" w:name="_Toc189"/>
      <w:bookmarkStart w:id="1" w:name="_Toc127820563"/>
      <w:bookmarkStart w:id="2" w:name="_Toc130887499"/>
      <w:bookmarkStart w:id="3" w:name="_Toc30945"/>
      <w:bookmarkStart w:id="4" w:name="_Toc25703"/>
      <w:bookmarkStart w:id="5" w:name="_Toc128151026"/>
      <w:bookmarkStart w:id="6" w:name="_Toc128397969"/>
      <w:bookmarkStart w:id="7" w:name="_Toc128150777"/>
      <w:bookmarkStart w:id="8" w:name="_Toc128150133"/>
      <w:bookmarkStart w:id="9" w:name="_Toc22387"/>
      <w:bookmarkStart w:id="10" w:name="_Toc132190633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商务条款均为实质性条款，不接受负偏离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）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（一）</w:t>
      </w:r>
      <w:r>
        <w:rPr>
          <w:rFonts w:hAnsi="宋体"/>
          <w:bCs/>
          <w:sz w:val="28"/>
          <w:szCs w:val="28"/>
          <w:highlight w:val="none"/>
        </w:rPr>
        <w:t>交货</w:t>
      </w:r>
      <w:r>
        <w:rPr>
          <w:rFonts w:hint="eastAsia" w:hAnsi="宋体"/>
          <w:bCs/>
          <w:sz w:val="28"/>
          <w:szCs w:val="28"/>
          <w:highlight w:val="none"/>
        </w:rPr>
        <w:t>时间</w:t>
      </w:r>
      <w:r>
        <w:rPr>
          <w:rFonts w:hAnsi="宋体"/>
          <w:bCs/>
          <w:sz w:val="28"/>
          <w:szCs w:val="28"/>
          <w:highlight w:val="none"/>
        </w:rPr>
        <w:t>、地点</w:t>
      </w:r>
      <w:r>
        <w:rPr>
          <w:rFonts w:hint="eastAsia" w:hAnsi="宋体"/>
          <w:bCs/>
          <w:sz w:val="28"/>
          <w:szCs w:val="28"/>
          <w:highlight w:val="none"/>
        </w:rPr>
        <w:t>和方式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1.</w:t>
      </w:r>
      <w:r>
        <w:rPr>
          <w:rFonts w:hint="eastAsia" w:hAnsi="宋体"/>
          <w:bCs/>
          <w:sz w:val="28"/>
          <w:szCs w:val="28"/>
          <w:highlight w:val="none"/>
        </w:rPr>
        <w:t>交货时间：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  <w:u w:val="single"/>
          <w:lang w:eastAsia="zh-CN"/>
        </w:rPr>
        <w:t>合同签订后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 xml:space="preserve">3个月内交货 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2.</w:t>
      </w:r>
      <w:r>
        <w:rPr>
          <w:rFonts w:hint="eastAsia" w:hAnsi="宋体"/>
          <w:bCs/>
          <w:sz w:val="28"/>
          <w:szCs w:val="28"/>
          <w:highlight w:val="none"/>
        </w:rPr>
        <w:t>交货地点：</w:t>
      </w:r>
      <w:r>
        <w:rPr>
          <w:rFonts w:hint="eastAsia" w:cs="Times New Roman"/>
          <w:bCs/>
          <w:kern w:val="0"/>
          <w:sz w:val="28"/>
          <w:szCs w:val="28"/>
          <w:highlight w:val="none"/>
          <w:u w:val="single"/>
          <w:lang w:val="zh-CN" w:eastAsia="zh-CN" w:bidi="ar-SA"/>
        </w:rPr>
        <w:t>指定地点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3.</w:t>
      </w:r>
      <w:r>
        <w:rPr>
          <w:rFonts w:hint="eastAsia" w:hAnsi="宋体"/>
          <w:bCs/>
          <w:sz w:val="28"/>
          <w:szCs w:val="28"/>
          <w:highlight w:val="none"/>
        </w:rPr>
        <w:t>交货方式：</w:t>
      </w:r>
      <w:r>
        <w:rPr>
          <w:rFonts w:hint="eastAsia"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>/</w:t>
      </w:r>
      <w:r>
        <w:rPr>
          <w:rFonts w:hAnsi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7"/>
        <w:numPr>
          <w:ilvl w:val="0"/>
          <w:numId w:val="0"/>
        </w:numPr>
        <w:spacing w:line="560" w:lineRule="exact"/>
        <w:ind w:firstLine="560" w:firstLineChars="200"/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val="zh-CN"/>
        </w:rPr>
        <w:t>二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售后服务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2733"/>
        <w:gridCol w:w="4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技术和性能参数名称</w:t>
            </w:r>
          </w:p>
        </w:tc>
        <w:tc>
          <w:tcPr>
            <w:tcW w:w="263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招标参数和性能要求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63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原厂保修年限</w:t>
            </w:r>
          </w:p>
        </w:tc>
        <w:tc>
          <w:tcPr>
            <w:tcW w:w="26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≥3年，保修期内开机率不低于95%（按365日/年计算，含节假日)，未达到要求的开机率天数，按双倍天数顺延保修期。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零配件支持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零配件保证供应时长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厂家自报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到位维修响应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维修到达现场时间≤0.5个工作日（京内）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维修到达现场时间≤3个工作日（京外）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保修期外维修费用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提供免费保修期外的年度整机保修费用价格，提供维修工时费计算方法及价格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技术支持和服务网点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提供全国主要城市售后服务网点及售后人员数量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639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升级与软件维护</w:t>
            </w:r>
          </w:p>
        </w:tc>
        <w:tc>
          <w:tcPr>
            <w:tcW w:w="26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保修期内免费升级和软件维护；保修期外，原软件维护仅收工时费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专用工具、资料及其它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提供设备配套的维修专用工具，资料（操作手册、维修手册等）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2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63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培训</w:t>
            </w:r>
          </w:p>
        </w:tc>
        <w:tc>
          <w:tcPr>
            <w:tcW w:w="2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提供使用培训和工程师原厂培训</w:t>
            </w:r>
          </w:p>
        </w:tc>
      </w:tr>
    </w:tbl>
    <w:p>
      <w:pPr>
        <w:pStyle w:val="7"/>
        <w:numPr>
          <w:ilvl w:val="0"/>
          <w:numId w:val="1"/>
        </w:numPr>
        <w:spacing w:line="560" w:lineRule="exact"/>
        <w:ind w:firstLine="560"/>
        <w:rPr>
          <w:rFonts w:hint="eastAsia" w:hAnsi="宋体"/>
          <w:bCs/>
          <w:sz w:val="28"/>
          <w:szCs w:val="28"/>
          <w:highlight w:val="none"/>
          <w:lang w:val="zh-CN"/>
        </w:rPr>
      </w:pPr>
      <w:r>
        <w:rPr>
          <w:rFonts w:hint="eastAsia" w:hAnsi="宋体"/>
          <w:bCs/>
          <w:sz w:val="28"/>
          <w:szCs w:val="28"/>
          <w:highlight w:val="none"/>
          <w:lang w:val="zh-CN"/>
        </w:rPr>
        <w:t>包装运输</w:t>
      </w:r>
    </w:p>
    <w:p>
      <w:pPr>
        <w:pStyle w:val="7"/>
        <w:numPr>
          <w:ilvl w:val="0"/>
          <w:numId w:val="0"/>
        </w:numPr>
        <w:spacing w:line="560" w:lineRule="exact"/>
        <w:ind w:firstLine="560" w:firstLineChars="200"/>
        <w:rPr>
          <w:rFonts w:hint="eastAsia" w:hAnsi="宋体"/>
          <w:bCs/>
          <w:sz w:val="28"/>
          <w:szCs w:val="28"/>
          <w:highlight w:val="none"/>
          <w:lang w:val="zh-CN"/>
        </w:rPr>
      </w:pPr>
      <w:r>
        <w:rPr>
          <w:rFonts w:hint="eastAsia" w:hAnsi="宋体"/>
          <w:bCs/>
          <w:sz w:val="28"/>
          <w:szCs w:val="28"/>
          <w:highlight w:val="none"/>
          <w:lang w:val="zh-CN"/>
        </w:rPr>
        <w:t>设备需采取坚固外包装，适合长途运输，防湿、防潮、防震、防锈，耐粗暴搬运等，以确保设备安全无损运抵甲方指定地点。如果设备外包装在运输途中发生破损，甲方可拒绝签收，并及时通知乙方，因存放而发生的费用由乙方承担。由于包装不善而造成设备损坏的，乙方应无条件退换并承担由此产生的一切费用、损失及违约责任。如果是国外产品，木箱包装需要经过熏蒸，无虫卵，送货之前需要进行消杀处理。</w:t>
      </w:r>
    </w:p>
    <w:p>
      <w:pPr>
        <w:pStyle w:val="7"/>
        <w:spacing w:line="560" w:lineRule="exact"/>
        <w:ind w:firstLine="560"/>
        <w:rPr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四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</w:rPr>
        <w:t>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sz w:val="28"/>
          <w:szCs w:val="28"/>
          <w:highlight w:val="none"/>
        </w:rPr>
        <w:t>材料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7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7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ascii="宋体"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五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物资编目编码、打码贴签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要求</w:t>
      </w:r>
    </w:p>
    <w:p>
      <w:pPr>
        <w:pStyle w:val="7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7"/>
        <w:spacing w:line="560" w:lineRule="atLeast"/>
        <w:ind w:firstLine="560"/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bCs/>
          <w:sz w:val="28"/>
          <w:szCs w:val="28"/>
          <w:highlight w:val="none"/>
          <w:lang w:eastAsia="zh-CN"/>
        </w:rPr>
        <w:t>六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）付款及结算方式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签订合同付（预付）0%，物资到货（服务完成）验收后付95%,</w:t>
      </w:r>
      <w:r>
        <w:rPr>
          <w:rFonts w:hint="eastAsia" w:ascii="宋体" w:hAnsi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质量保证金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5%</w:t>
      </w:r>
      <w:r>
        <w:rPr>
          <w:rFonts w:hint="eastAsia" w:ascii="宋体" w:hAnsi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。</w:t>
      </w:r>
    </w:p>
    <w:p>
      <w:pPr>
        <w:numPr>
          <w:ilvl w:val="0"/>
          <w:numId w:val="2"/>
        </w:numPr>
        <w:ind w:firstLine="560" w:firstLineChars="200"/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  <w:t>其他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default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专用工具，备品备件：厂家自报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质量保证：自设备验收调试完成之日起算，提供产品的原厂不少于3年质保。供应商对提供的设备在质保期内维修维护费用全免，人为损坏除外。供应商对提供的货物在质保期内，因质量问题而导致的缺陷，必须免费提供包修、包换、包退服务。超出质保期后，供应商应当提供上门维修服务，免人工费只收取零配件的费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售后服务：产品送货上门“交钥匙</w:t>
      </w:r>
      <w:r>
        <w:rPr>
          <w:rFonts w:hint="default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”</w:t>
      </w: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，现场安装、调试、确保设备正常运行。质保期外，免人工费，只收取零配件的费用。供应商须承诺履行军事保密义务，在军事行动中提供应急支援保障服务，服务内容包括由投标人自行拟制保障服务内容。投标供应商须提供该产品的技术培训、技术支持和维修巡检服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报价要求及保险：报价为含税价格，包含货物到达项目现场的所有费用，包括制造或组装货物所使用的部件和原材料，以及货物本身已缴纳或者应缴纳的营业税、销售税和其他税费、关税、增值税、运输费、保险费和货物运抵项目现场所产生的其他费用、货物本身必须的备件、附件和专用工具、技术文件费、负责进口货物及海关报关、通关等费用；安装、调试、验收费用；培训费；维修服务和技术支持费。</w:t>
      </w:r>
    </w:p>
    <w:p>
      <w:pPr>
        <w:rPr>
          <w:rFonts w:hint="default" w:ascii="宋体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  <w:br w:type="page"/>
      </w:r>
    </w:p>
    <w:p>
      <w:pPr>
        <w:pStyle w:val="3"/>
        <w:numPr>
          <w:ilvl w:val="0"/>
          <w:numId w:val="3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11" w:name="_Toc132190634"/>
      <w:bookmarkStart w:id="12" w:name="_Toc128150134"/>
      <w:bookmarkStart w:id="13" w:name="_Toc128151027"/>
      <w:bookmarkStart w:id="14" w:name="_Toc128397970"/>
      <w:bookmarkStart w:id="15" w:name="_Toc128150778"/>
      <w:bookmarkStart w:id="16" w:name="_Toc127820564"/>
      <w:bookmarkStart w:id="17" w:name="_Toc130887500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p>
      <w:pPr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1779"/>
        <w:gridCol w:w="574"/>
        <w:gridCol w:w="1034"/>
        <w:gridCol w:w="1169"/>
        <w:gridCol w:w="1437"/>
        <w:gridCol w:w="15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5000" w:type="pct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4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临床用于外科手术过程中病人的体位摆放，以实现各种外科手术需要的手术体位及姿势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具备CE认证和CFDA认证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*3.1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驱动系统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采用电动液压驱动，非机械齿轮传动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遥控系统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两套操作系统，1套手持遥控器，1套床体控制系统,具备一键复位功能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*3.3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床板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床板整体具备可透X光功能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床面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床垫为记忆海绵，厚度≥80mm。采用超声烫接技术非缝合式，防水、易清洗消毒，防静电，可拆卸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·3.5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刹车系统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底座直落式刹车系统，可将手术床底座完全牢固在手术室地板上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手术床长度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≥2000mm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·3.7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升降行程高度：     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台面高度调节范围：最低位≤600mm，最高位 ≥1050mm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*3.8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电动水平移动距离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≥350mm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·3.9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手术床最大承载重量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≥350公斤 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·3.10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辅助行走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手术床具有第五轮可进行辅助行走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手控器控制显示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手控器液晶屏可在操作中以数字实时显示头脚倾斜、左右倾斜、背板升降角度，且能显示脚轮控制状态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·3.12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遥控器体位储存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可储存体位≥10个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手术床电池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内置蓄电池1套，每次充满电后能够保证常规手术≥50例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立柱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立柱顶端与床板连接处为硬质材料，无皮质或其他影响清洁的软质材料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提供彩页照片证明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电动腰桥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具备，高度≥100mm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可量化（证明材料为第三方检测机构出具的检测报告，其他证明材料无效）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252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每个手术床至少包含以下配置：可调节托手架1个、底座1个、床柱1个、坐板1个、下背板1个、头板1个、上背板1个、可分腿式腿板1个、手板1个，麻醉布帘架1个、有线手控器1个、截石位腿架2个、蓄电池1套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不可量化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2.加注“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3.加注“*”、“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”号的技术指标均需投标企业提供证明材料。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0DC234"/>
    <w:multiLevelType w:val="singleLevel"/>
    <w:tmpl w:val="9F0DC23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A6E249F"/>
    <w:multiLevelType w:val="singleLevel"/>
    <w:tmpl w:val="7A6E249F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2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2024-11-22T07:24:42Z</dcterms:created>
  <dc:creator>admin</dc:creator>
  <cp:lastModifiedBy>admin</cp:lastModifiedBy>
  <dcterms:modified xsi:type="dcterms:W3CDTF">2024-11-22T07:25:03Z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