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Lines="50" w:afterLines="50" w:line="572" w:lineRule="exact"/>
        <w:ind w:firstLine="0" w:firstLineChars="0"/>
        <w:jc w:val="center"/>
        <w:rPr>
          <w:b/>
          <w:bCs/>
          <w:lang w:val="zh-CN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相关证明材料包括注册证或企业承诺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eastAsia="zh-CN"/>
        </w:rPr>
        <w:t>或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产品说明书或彩页或白皮书</w:t>
      </w:r>
    </w:p>
    <w:p>
      <w:pPr>
        <w:rPr>
          <w:lang w:val="zh-CN"/>
        </w:rPr>
      </w:pPr>
    </w:p>
    <w:p>
      <w:pPr>
        <w:pStyle w:val="4"/>
        <w:numPr>
          <w:ilvl w:val="0"/>
          <w:numId w:val="1"/>
        </w:numPr>
        <w:rPr>
          <w:rFonts w:hint="eastAsia" w:ascii="黑体" w:hAnsi="黑体" w:cs="黑体"/>
          <w:sz w:val="28"/>
          <w:szCs w:val="28"/>
        </w:rPr>
      </w:pPr>
      <w:bookmarkStart w:id="0" w:name="_Toc128150777"/>
      <w:bookmarkStart w:id="1" w:name="_Toc132190633"/>
      <w:bookmarkStart w:id="2" w:name="_Toc130887499"/>
      <w:bookmarkStart w:id="3" w:name="_Toc128150133"/>
      <w:bookmarkStart w:id="4" w:name="_Toc128151026"/>
      <w:bookmarkStart w:id="5" w:name="_Toc25703"/>
      <w:bookmarkStart w:id="6" w:name="_Toc22387"/>
      <w:bookmarkStart w:id="7" w:name="_Toc127820563"/>
      <w:bookmarkStart w:id="8" w:name="_Toc128397969"/>
      <w:bookmarkStart w:id="9" w:name="_Toc30945"/>
      <w:bookmarkStart w:id="10" w:name="_Toc189"/>
      <w:r>
        <w:rPr>
          <w:rFonts w:hint="eastAsia" w:ascii="黑体" w:hAnsi="黑体" w:cs="黑体"/>
          <w:sz w:val="28"/>
          <w:szCs w:val="28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sz w:val="28"/>
          <w:szCs w:val="28"/>
        </w:rPr>
        <w:t>（商务条款均为实质性条款，不接受负偏离）</w:t>
      </w:r>
    </w:p>
    <w:tbl>
      <w:tblPr>
        <w:tblStyle w:val="6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1461"/>
        <w:gridCol w:w="5243"/>
        <w:gridCol w:w="12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3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3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3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3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3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3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3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3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3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3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8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30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供应商应当保证采购单位在使用该物资或其任何一部分时，不受第三方侵权指控。同时，供应商不得向第三方泄露采购机构提供的技术文件等材料。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b w:val="0"/>
          <w:szCs w:val="44"/>
          <w:lang w:val="zh-CN"/>
        </w:rPr>
      </w:pPr>
      <w:bookmarkStart w:id="11" w:name="_Toc128397970"/>
      <w:bookmarkStart w:id="12" w:name="_Toc128150134"/>
      <w:bookmarkStart w:id="13" w:name="_Toc128151027"/>
      <w:bookmarkStart w:id="14" w:name="_Toc130887500"/>
      <w:bookmarkStart w:id="15" w:name="_Toc128150778"/>
      <w:bookmarkStart w:id="16" w:name="_Toc127820564"/>
      <w:bookmarkStart w:id="17" w:name="_Toc132190634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p>
      <w:pPr>
        <w:overflowPunct w:val="0"/>
        <w:spacing w:beforeLines="50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1049"/>
        <w:gridCol w:w="522"/>
        <w:gridCol w:w="382"/>
        <w:gridCol w:w="1016"/>
        <w:gridCol w:w="1294"/>
        <w:gridCol w:w="1619"/>
        <w:gridCol w:w="405"/>
        <w:gridCol w:w="14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0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sz w:val="24"/>
              </w:rPr>
              <w:t>心肺复苏机/3D按压电动心肺复苏机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总数量（台）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8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10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254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787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对心脏骤停患者进行心肺复苏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注册证或企业承诺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CFDA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具备FDA认证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FDA认证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驱动方式</w:t>
            </w:r>
          </w:p>
        </w:tc>
        <w:tc>
          <w:tcPr>
            <w:tcW w:w="32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电动电控，无需气源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按压方式</w:t>
            </w:r>
          </w:p>
        </w:tc>
        <w:tc>
          <w:tcPr>
            <w:tcW w:w="32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仿手工按压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固定方式</w:t>
            </w:r>
          </w:p>
        </w:tc>
        <w:tc>
          <w:tcPr>
            <w:tcW w:w="32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设备固定和支撑组件采用硬质材料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按压通气模式</w:t>
            </w:r>
          </w:p>
        </w:tc>
        <w:tc>
          <w:tcPr>
            <w:tcW w:w="32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30:2按压模式和连续按压模式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按压频率</w:t>
            </w:r>
          </w:p>
        </w:tc>
        <w:tc>
          <w:tcPr>
            <w:tcW w:w="32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≥100次/分钟，误差≤±2次/分钟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最大按压深度</w:t>
            </w:r>
          </w:p>
        </w:tc>
        <w:tc>
          <w:tcPr>
            <w:tcW w:w="32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≤5.5cm,避免按压过深导致并发症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胸廓复位装置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具备，确保患者胸廓 1:1复位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等线 Light" w:hAnsi="等线 Light" w:eastAsia="等线 Light" w:cs="等线 Light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等线 Light" w:hAnsi="等线 Light" w:eastAsia="等线 Light" w:cs="等线 Light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电池指示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等线 Light" w:hAnsi="等线 Light" w:eastAsia="等线 Light" w:cs="等线 Light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具有电池剩余电量指示和充电进度指示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供电方式</w:t>
            </w:r>
          </w:p>
        </w:tc>
        <w:tc>
          <w:tcPr>
            <w:tcW w:w="32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电池供电，市电，车载供电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背板</w:t>
            </w:r>
          </w:p>
        </w:tc>
        <w:tc>
          <w:tcPr>
            <w:tcW w:w="32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可透X光射线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与除颤手柄同步使用</w:t>
            </w:r>
          </w:p>
        </w:tc>
        <w:tc>
          <w:tcPr>
            <w:tcW w:w="32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无需拆卸机器或者调转机器即可实现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防摔</w:t>
            </w:r>
          </w:p>
        </w:tc>
        <w:tc>
          <w:tcPr>
            <w:tcW w:w="32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采用物理按键设计，没有液晶屏等易碎部件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工作环境湿度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5%-95%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防水防尘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≥IPX4级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适航证明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具备IEC60601-1-12适航证明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IEC60601-1-12适航证明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3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63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共4台，每台包含（主机1台、背板1个、电池1块、手臂固定带1条、背包1个、充电线1跟）</w:t>
            </w:r>
          </w:p>
        </w:tc>
        <w:tc>
          <w:tcPr>
            <w:tcW w:w="2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企业承诺或相关证明材料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64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项，投标企业技术分值为</w:t>
            </w:r>
            <w:r>
              <w:rPr>
                <w:rFonts w:ascii="黑体" w:hAnsi="黑体" w:eastAsia="黑体" w:cs="黑体"/>
                <w:kern w:val="0"/>
                <w:sz w:val="20"/>
              </w:rPr>
              <w:t>0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ind w:firstLine="720" w:firstLineChars="4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keepNext w:val="0"/>
              <w:keepLines w:val="0"/>
              <w:widowControl/>
              <w:suppressLineNumbers w:val="0"/>
              <w:ind w:firstLine="720" w:firstLineChars="4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</w:p>
        </w:tc>
      </w:tr>
    </w:tbl>
    <w:p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D2250A"/>
    <w:multiLevelType w:val="singleLevel"/>
    <w:tmpl w:val="A4D2250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14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2025-01-17T08:21:42Z</dcterms:created>
  <dc:creator>admin</dc:creator>
  <cp:lastModifiedBy>admin</cp:lastModifiedBy>
  <dcterms:modified xsi:type="dcterms:W3CDTF">2025-01-17T08:22:16Z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