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1"/>
        </w:numPr>
        <w:spacing w:before="0" w:after="0" w:line="560" w:lineRule="exact"/>
        <w:ind w:firstLine="560" w:firstLineChars="200"/>
        <w:rPr>
          <w:rFonts w:hint="eastAsia" w:ascii="黑体" w:hAnsi="黑体" w:cs="黑体"/>
          <w:b w:val="0"/>
          <w:sz w:val="28"/>
          <w:szCs w:val="28"/>
          <w:lang w:eastAsia="zh-CN"/>
        </w:rPr>
      </w:pPr>
      <w:bookmarkStart w:id="0" w:name="_Toc128154367"/>
      <w:bookmarkStart w:id="1" w:name="_Toc25325"/>
      <w:bookmarkStart w:id="2" w:name="_Toc112768493"/>
      <w:bookmarkStart w:id="3" w:name="_Toc14060"/>
      <w:bookmarkStart w:id="4" w:name="_Toc13753"/>
      <w:bookmarkStart w:id="5" w:name="_Toc21712"/>
      <w:bookmarkStart w:id="6" w:name="_Toc112681847"/>
      <w:bookmarkStart w:id="7" w:name="_Toc22977"/>
      <w:bookmarkStart w:id="8" w:name="_Toc130888006"/>
      <w:bookmarkStart w:id="9" w:name="_Toc132186974"/>
      <w:bookmarkStart w:id="10" w:name="_Toc13168"/>
      <w:bookmarkStart w:id="11" w:name="_Toc128470294"/>
      <w:bookmarkStart w:id="12" w:name="_Toc132191258"/>
      <w:bookmarkStart w:id="13" w:name="_Toc22203"/>
      <w:bookmarkStart w:id="14" w:name="_Toc32238"/>
      <w:bookmarkStart w:id="15" w:name="_Toc17189"/>
      <w:bookmarkStart w:id="16" w:name="_Toc15070"/>
      <w:bookmarkStart w:id="17" w:name="_Toc285612596"/>
      <w:r>
        <w:rPr>
          <w:rFonts w:hint="eastAsia" w:ascii="黑体" w:hAnsi="黑体" w:cs="黑体"/>
          <w:b w:val="0"/>
          <w:sz w:val="28"/>
          <w:szCs w:val="28"/>
          <w:highlight w:val="none"/>
        </w:rPr>
        <w:t>商务要求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rFonts w:hint="eastAsia" w:ascii="黑体" w:hAnsi="黑体" w:cs="黑体"/>
          <w:b w:val="0"/>
          <w:sz w:val="28"/>
          <w:szCs w:val="28"/>
          <w:lang w:eastAsia="zh-CN"/>
        </w:rPr>
        <w:t>（商务要求均为实质性响应条款，不接受负偏离）</w:t>
      </w:r>
      <w:bookmarkEnd w:id="16"/>
    </w:p>
    <w:tbl>
      <w:tblPr>
        <w:tblStyle w:val="4"/>
        <w:tblW w:w="4999" w:type="pct"/>
        <w:tblInd w:w="0" w:type="dxa"/>
        <w:shd w:val="clear" w:color="auto" w:fill="auto"/>
        <w:tblLayout w:type="autofit"/>
        <w:tblCellMar>
          <w:top w:w="0" w:type="dxa"/>
          <w:left w:w="0" w:type="dxa"/>
          <w:bottom w:w="0" w:type="dxa"/>
          <w:right w:w="0" w:type="dxa"/>
        </w:tblCellMar>
      </w:tblPr>
      <w:tblGrid>
        <w:gridCol w:w="720"/>
        <w:gridCol w:w="1939"/>
        <w:gridCol w:w="4378"/>
        <w:gridCol w:w="1297"/>
      </w:tblGrid>
      <w:tr>
        <w:tblPrEx>
          <w:shd w:val="clear" w:color="auto" w:fill="auto"/>
          <w:tblCellMar>
            <w:top w:w="0" w:type="dxa"/>
            <w:left w:w="0" w:type="dxa"/>
            <w:bottom w:w="0" w:type="dxa"/>
            <w:right w:w="0" w:type="dxa"/>
          </w:tblCellMar>
        </w:tblPrEx>
        <w:trPr>
          <w:trHeight w:val="600"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交货时间、交货地点</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合同签订后3个月内交付，交付地点由甲方指定</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99"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付款及结算方式</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签订合同付（预付）0%，物资到货（服务完成）验收后付95%。</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履约保证金/质量保证金</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验收合格后满1年无质量问题支付剩余5%（不超过5%）</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99"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产品包装和运输要求</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按照国家、行业相关标准规范，产品确保包装完好，运输确保不对产品造成损伤。</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99"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5</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售后服务1</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（质保）</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保修年限不低于3年，全年故障停机时间不高于5%（按365日/年计算)。</w:t>
            </w:r>
          </w:p>
        </w:tc>
        <w:tc>
          <w:tcPr>
            <w:tcW w:w="7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原厂授权或企业承诺</w:t>
            </w:r>
          </w:p>
        </w:tc>
      </w:tr>
      <w:tr>
        <w:tblPrEx>
          <w:tblCellMar>
            <w:top w:w="0" w:type="dxa"/>
            <w:left w:w="0" w:type="dxa"/>
            <w:bottom w:w="0" w:type="dxa"/>
            <w:right w:w="0" w:type="dxa"/>
          </w:tblCellMar>
        </w:tblPrEx>
        <w:trPr>
          <w:trHeight w:val="699"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6</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售后服务2</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（质保）</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保修期内免费提供定期维护保养服务，免费升级和维护软件，免费提供使用培训。</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7</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售后服务3</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（质保）</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提供不少于1人次、1天的工程师维修培训。</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8</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售后服务4</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（响应时间）</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维修响应时间≤6小时，维修到达现场时间≤8小时。</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9</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备品备件要求（零配件）</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由供应商承诺项目使用寿命周期内保证零配件供应。</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10</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专用工具</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99"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11</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物资编目编码、打码贴签要求</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本项目对物资的编目编码、打码贴签要求，报价供应商应当予以明确响应，相关费用包含在报价中。</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99" w:hRule="atLeast"/>
        </w:trPr>
        <w:tc>
          <w:tcPr>
            <w:tcW w:w="4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12</w:t>
            </w:r>
          </w:p>
        </w:tc>
        <w:tc>
          <w:tcPr>
            <w:tcW w:w="11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等线" w:hAnsi="等线" w:eastAsia="等线" w:cs="等线"/>
                <w:i w:val="0"/>
                <w:color w:val="000000"/>
                <w:kern w:val="0"/>
                <w:sz w:val="22"/>
                <w:szCs w:val="22"/>
                <w:u w:val="none"/>
                <w:lang w:val="en-US" w:eastAsia="zh-CN" w:bidi="ar"/>
              </w:rPr>
            </w:pPr>
            <w:r>
              <w:rPr>
                <w:rFonts w:hint="eastAsia" w:ascii="等线" w:hAnsi="等线" w:eastAsia="等线" w:cs="等线"/>
                <w:i w:val="0"/>
                <w:color w:val="000000"/>
                <w:kern w:val="0"/>
                <w:sz w:val="22"/>
                <w:szCs w:val="22"/>
                <w:u w:val="none"/>
                <w:lang w:val="en-US" w:eastAsia="zh-CN" w:bidi="ar"/>
              </w:rPr>
              <w:t>知识产权和保密要求</w:t>
            </w:r>
          </w:p>
        </w:tc>
        <w:tc>
          <w:tcPr>
            <w:tcW w:w="2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zh-CN" w:eastAsia="zh-CN" w:bidi="ar"/>
              </w:rPr>
            </w:pPr>
            <w:r>
              <w:rPr>
                <w:rFonts w:hint="eastAsia" w:ascii="宋体" w:hAnsi="宋体" w:eastAsia="宋体" w:cs="宋体"/>
                <w:i w:val="0"/>
                <w:color w:val="000000"/>
                <w:kern w:val="0"/>
                <w:sz w:val="22"/>
                <w:szCs w:val="22"/>
                <w:u w:val="none"/>
                <w:lang w:val="zh-CN" w:eastAsia="zh-CN" w:bidi="ar"/>
              </w:rPr>
              <w:t>报价供应商应当保证采购单位在使用该物资或其任何一部分时，不受第三方侵权指控。同时，报价供应商不得向第三方泄露采购机构提供的技术文件等</w:t>
            </w:r>
            <w:r>
              <w:rPr>
                <w:rFonts w:hint="eastAsia" w:ascii="宋体" w:hAnsi="宋体" w:eastAsia="宋体" w:cs="宋体"/>
                <w:i w:val="0"/>
                <w:color w:val="000000"/>
                <w:kern w:val="0"/>
                <w:sz w:val="22"/>
                <w:szCs w:val="22"/>
                <w:u w:val="none"/>
                <w:lang w:val="en-US" w:eastAsia="zh-CN" w:bidi="ar"/>
              </w:rPr>
              <w:t>材料</w:t>
            </w:r>
            <w:r>
              <w:rPr>
                <w:rFonts w:hint="eastAsia" w:ascii="宋体" w:hAnsi="宋体" w:eastAsia="宋体" w:cs="宋体"/>
                <w:i w:val="0"/>
                <w:color w:val="000000"/>
                <w:kern w:val="0"/>
                <w:sz w:val="22"/>
                <w:szCs w:val="22"/>
                <w:u w:val="none"/>
                <w:lang w:val="zh-CN" w:eastAsia="zh-CN" w:bidi="ar"/>
              </w:rPr>
              <w:t>。</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zh-CN" w:eastAsia="zh-CN" w:bidi="ar"/>
              </w:rPr>
              <w:t>基于项目合同履行形成的知识产权和其他权益，其权属归采购单位所有，法律另有规定的除外。</w:t>
            </w: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企业承诺</w:t>
            </w:r>
          </w:p>
        </w:tc>
      </w:tr>
      <w:bookmarkEnd w:id="17"/>
    </w:tbl>
    <w:p>
      <w:pPr>
        <w:pStyle w:val="3"/>
        <w:numPr>
          <w:ilvl w:val="0"/>
          <w:numId w:val="1"/>
        </w:numPr>
        <w:spacing w:before="0" w:after="0" w:line="560" w:lineRule="exact"/>
        <w:ind w:left="0" w:leftChars="0" w:firstLine="560" w:firstLineChars="200"/>
        <w:rPr>
          <w:rFonts w:hint="eastAsia" w:ascii="黑体" w:hAnsi="黑体" w:cs="黑体"/>
          <w:b w:val="0"/>
          <w:color w:val="auto"/>
          <w:sz w:val="28"/>
          <w:szCs w:val="28"/>
          <w:highlight w:val="none"/>
        </w:rPr>
      </w:pPr>
      <w:bookmarkStart w:id="18" w:name="_Toc27651"/>
      <w:bookmarkStart w:id="19" w:name="_Toc20366"/>
      <w:bookmarkStart w:id="20" w:name="_Toc12832"/>
      <w:r>
        <w:rPr>
          <w:rFonts w:hint="eastAsia" w:ascii="黑体" w:hAnsi="黑体" w:cs="黑体"/>
          <w:b w:val="0"/>
          <w:color w:val="auto"/>
          <w:sz w:val="28"/>
          <w:szCs w:val="28"/>
          <w:highlight w:val="none"/>
        </w:rPr>
        <w:t>技术要求</w:t>
      </w:r>
      <w:bookmarkEnd w:id="18"/>
      <w:bookmarkEnd w:id="19"/>
      <w:bookmarkEnd w:id="20"/>
    </w:p>
    <w:tbl>
      <w:tblPr>
        <w:tblStyle w:val="4"/>
        <w:tblW w:w="5000" w:type="pct"/>
        <w:tblInd w:w="0" w:type="dxa"/>
        <w:shd w:val="clear" w:color="auto" w:fill="auto"/>
        <w:tblLayout w:type="autofit"/>
        <w:tblCellMar>
          <w:top w:w="0" w:type="dxa"/>
          <w:left w:w="0" w:type="dxa"/>
          <w:bottom w:w="0" w:type="dxa"/>
          <w:right w:w="0" w:type="dxa"/>
        </w:tblCellMar>
      </w:tblPr>
      <w:tblGrid>
        <w:gridCol w:w="690"/>
        <w:gridCol w:w="521"/>
        <w:gridCol w:w="899"/>
        <w:gridCol w:w="781"/>
        <w:gridCol w:w="884"/>
        <w:gridCol w:w="2303"/>
        <w:gridCol w:w="688"/>
        <w:gridCol w:w="1570"/>
      </w:tblGrid>
      <w:tr>
        <w:tblPrEx>
          <w:shd w:val="clear" w:color="auto" w:fill="auto"/>
          <w:tblCellMar>
            <w:top w:w="0" w:type="dxa"/>
            <w:left w:w="0" w:type="dxa"/>
            <w:bottom w:w="0" w:type="dxa"/>
            <w:right w:w="0" w:type="dxa"/>
          </w:tblCellMar>
        </w:tblPrEx>
        <w:trPr>
          <w:trHeight w:val="801" w:hRule="atLeast"/>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采购需求表（物资类）</w:t>
            </w:r>
          </w:p>
        </w:tc>
      </w:tr>
      <w:tr>
        <w:tblPrEx>
          <w:tblCellMar>
            <w:top w:w="0" w:type="dxa"/>
            <w:left w:w="0" w:type="dxa"/>
            <w:bottom w:w="0" w:type="dxa"/>
            <w:right w:w="0" w:type="dxa"/>
          </w:tblCellMar>
        </w:tblPrEx>
        <w:trPr>
          <w:trHeight w:val="801" w:hRule="atLeast"/>
        </w:trPr>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项目编号</w:t>
            </w:r>
          </w:p>
        </w:tc>
        <w:tc>
          <w:tcPr>
            <w:tcW w:w="8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2024-JQ06-W3643</w:t>
            </w:r>
          </w:p>
        </w:tc>
        <w:tc>
          <w:tcPr>
            <w:tcW w:w="6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项目名称</w:t>
            </w:r>
          </w:p>
        </w:tc>
        <w:tc>
          <w:tcPr>
            <w:tcW w:w="147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光源摄像一体机</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最高限价（万元）</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w:t>
            </w:r>
          </w:p>
        </w:tc>
      </w:tr>
      <w:tr>
        <w:tblPrEx>
          <w:tblCellMar>
            <w:top w:w="0" w:type="dxa"/>
            <w:left w:w="0" w:type="dxa"/>
            <w:bottom w:w="0" w:type="dxa"/>
            <w:right w:w="0" w:type="dxa"/>
          </w:tblCellMar>
        </w:tblPrEx>
        <w:trPr>
          <w:trHeight w:val="801" w:hRule="atLeast"/>
        </w:trPr>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采购数量</w:t>
            </w:r>
          </w:p>
        </w:tc>
        <w:tc>
          <w:tcPr>
            <w:tcW w:w="895" w:type="pct"/>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6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预算单价</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（万元）</w:t>
            </w:r>
          </w:p>
        </w:tc>
        <w:tc>
          <w:tcPr>
            <w:tcW w:w="147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预算总价（万元）</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w:t>
            </w:r>
          </w:p>
        </w:tc>
      </w:tr>
      <w:tr>
        <w:tblPrEx>
          <w:tblCellMar>
            <w:top w:w="0" w:type="dxa"/>
            <w:left w:w="0" w:type="dxa"/>
            <w:bottom w:w="0" w:type="dxa"/>
            <w:right w:w="0" w:type="dxa"/>
          </w:tblCellMar>
        </w:tblPrEx>
        <w:trPr>
          <w:trHeight w:val="801"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序号</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需求名称</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参数性质</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需求具体内容</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是否量化</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备注（证明材料等其他要求）</w:t>
            </w:r>
          </w:p>
        </w:tc>
      </w:tr>
      <w:tr>
        <w:tblPrEx>
          <w:tblCellMar>
            <w:top w:w="0" w:type="dxa"/>
            <w:left w:w="0" w:type="dxa"/>
            <w:bottom w:w="0" w:type="dxa"/>
            <w:right w:w="0" w:type="dxa"/>
          </w:tblCellMar>
        </w:tblPrEx>
        <w:trPr>
          <w:trHeight w:val="600"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技术要求</w:t>
            </w: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基本要求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用于科室宫腔内窥镜设备图像采集成像以及提供冷光源照明。</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资质认证</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具备NMPA认证</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医疗器械注册证</w:t>
            </w: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技术和性能参数</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内窥镜摄像系统</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图像分辨率</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≥1920*1080</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图像色域范围</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支持BT.2020、BT.709</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3.1.3</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图像增强</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可对图像边缘进行加强，具有多种图像增强功能：包含但不限于锐度、3D降噪、电子除烟、WDR、血管增强、电子染色等。(提供相关的技术证明材料)</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3.1.4</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锐度调节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可根据手术需要≥100级可调</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3.1.5</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3D降噪</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可根据手术需要≥100级可调</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3.1.6</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电子除烟功能</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具备，可根据需要选择开或关</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3.1.7</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WDR功能</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具备，可根据需要选择开或关</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3.1.8</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血管增强</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具备，可根据需要选择开或关</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3.1.9</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电子染色</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具备，可根据需要选择开或关</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3.1.10</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色彩调节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具有多种色彩调节功能：包含但不限于亮度、对比度、饱和度；R、G、B通道图像增益。(提供相关的技术证明材料)</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3.1.11</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亮度调节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可根据手术需要≥100级可调</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3.1.12</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对比度调节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可根据手术需要≥100级可调</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3.1.13</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饱和度调节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可根据手术需要≥100级可调</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3.1.14</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图像增益调节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可根据手术需要R、G、B图像增益通道≥100级可调</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3.1.15</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信噪比</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≥30dB</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3.1.16</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主机功能</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具备拍照、录像、白平衡、画面冻结、计时器功能</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3.1.17</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网络设置</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可进行网络相关功能设置，支持自动获取及手动设置的方式、开关 DHCP、查看本机网络信息、设置 IP/子网掩码/默认网关/DNS</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3.1.18</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屏幕调节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具备液晶触摸屏，可进行系统的全部设置，触屏能调节触屏亮度</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3.1.19</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系统设置</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可以进行调整系统时间、恢复至出厂设置、检测画面效果、格式化内部存储、查看软件版本的等功能</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3.1.20</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数据存储</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可以选择存储图片和视频及分辨率设置，可以选择存储方式并实现存储转换</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3.1.21</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信号输出接口</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支持多种输出端口，DP1.2、 DVI-I、3G-SDI</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3.1.22</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数据接口</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具备USB接口，≥3.0，支持U盘、移动硬盘存储设备即插即用</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3.1.23</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设备维护升级</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预留端口用于设备升级，配备设备维护和服务用接口，用于设备维护和服务</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3.1.24</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摄像头</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支持按键功能可自定义，种类至少包括白平衡、录像、拍照、冻结、放大、缩小、WDR（HDR）、亮度+、亮度-等功能的设定。（提供相关功能说明以及功能截图）</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3.1.25</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光源类型</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LED冷光源</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3.1.26</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光源功率</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≤120W</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3.1.27</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光源显色指数</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3.1.28</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光源亮度调节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0-100级可调</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3.1.29</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监视器规格</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≥32英寸，分辨率≥1920*1080</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3.1.30</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监视器标准</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支持GAMMA2.0/2.2/2.4/DICOM等多种曲线校准</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3.1.31</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监视器色彩校准</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色彩的还原性达到手术要求，色彩误差≤△E&lt;1.5，JNCD&lt;1</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提供第三方检测报告</w:t>
            </w: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3.1.32</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监视器输入/输出端口</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具备DP1.2、HDMI2.0、HDMI1.4、DVI-D、VGA、3G/12G-SDI、UHD-SDI接口</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内窥镜冲洗系统</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利用冲洗液体对腔体进行加压使其膨胀，从而达到腔镜手术中可视空间及腔内冲洗作用及同时具备独立负压吸引功能的设备。</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3.2.1</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运行模式</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连续运行，冲洗与吸引一体机并能同时独立运行</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3.2.2</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冲洗压强调节范围</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 mmHg～700 mmHg</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3.2.3</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冲洗流量调节范围</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 mL/min～1500 mL/min</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3.2.4</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冲洗流量准确性</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≥100mL/min时，流量设置的允差为±10mL/min；</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＜100mL/min时，流量设置的允差为±10mL/min</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3.2.5</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吸引压强调节范围</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 mmHg～500 mmHg</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3.2.6</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吸引压强准确性</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允差为±10%</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3.2.7</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吸引流量调节范围</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 L/min ～15L/min</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3.2.8</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吸引流量准确性</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允差为±10%</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3.2.9</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冲洗压强准确性</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＜50mmHg时，允差为±5mmHg；≥50mmHg时，允差为±10% </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3.2.10</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控制开关</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系统冲洗管路的气压室部分一旦脱离正常位置，系统的冲洗功能应立即停止工作，回到待机状态</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9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3.2.11</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冲洗管道要求1</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挤压部分的耐久性以运行3h停1h的周期，可连续运行至少20个周期</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3.2.12</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冲洗管道要求4</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可高温高压灭菌</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3.3</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图文工作站</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设备台车</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104"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配置需求</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内窥镜摄像系统1套、内窥镜冲洗系统</w:t>
            </w:r>
            <w:bookmarkStart w:id="21" w:name="_GoBack"/>
            <w:bookmarkEnd w:id="21"/>
            <w:r>
              <w:rPr>
                <w:rFonts w:hint="eastAsia" w:ascii="宋体" w:hAnsi="宋体" w:eastAsia="宋体" w:cs="宋体"/>
                <w:i w:val="0"/>
                <w:color w:val="000000"/>
                <w:kern w:val="0"/>
                <w:sz w:val="22"/>
                <w:szCs w:val="22"/>
                <w:u w:val="none"/>
                <w:lang w:val="en-US" w:eastAsia="zh-CN" w:bidi="ar"/>
              </w:rPr>
              <w:t>1台、图文工作站1套（显示器≥21英寸，CPU≥i5,内存≥16G）、台车1台，国产彩色激光打印机1台</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120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5</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验收标准方法</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0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5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8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801"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技术偏离要求</w:t>
            </w:r>
          </w:p>
        </w:tc>
        <w:tc>
          <w:tcPr>
            <w:tcW w:w="3851"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▲标识的指标负偏离≥3项，投标企业技术分值为0分</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▲标识的指标和“无标识”指标负偏离≥8项，投标企业技术分值为0分</w:t>
            </w:r>
          </w:p>
        </w:tc>
      </w:tr>
      <w:tr>
        <w:tblPrEx>
          <w:tblCellMar>
            <w:top w:w="0" w:type="dxa"/>
            <w:left w:w="0" w:type="dxa"/>
            <w:bottom w:w="0" w:type="dxa"/>
            <w:right w:w="0" w:type="dxa"/>
          </w:tblCellMar>
        </w:tblPrEx>
        <w:trPr>
          <w:trHeight w:val="1116"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注：1.★指标为必须响应指标，任意一项不满足要求即做废标处理；</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2.★及▲标识的指标，无法明确的默认由企业提供承诺；</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3.经济要求不接受企业负偏离。</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5ACC1"/>
    <w:multiLevelType w:val="singleLevel"/>
    <w:tmpl w:val="1B85AC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A34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2025-02-27T01:12:40Z</dcterms:created>
  <dc:creator>admin</dc:creator>
  <cp:lastModifiedBy>admin</cp:lastModifiedBy>
  <dcterms:modified xsi:type="dcterms:W3CDTF">2025-02-27T01:13:44Z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