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p>
    <w:p>
      <w:pPr>
        <w:pStyle w:val="2"/>
      </w:pPr>
    </w:p>
    <w:tbl>
      <w:tblPr>
        <w:tblW w:w="10416" w:type="dxa"/>
        <w:jc w:val="center"/>
        <w:tblInd w:w="-104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
      <w:tblGrid>
        <w:gridCol w:w="496"/>
        <w:gridCol w:w="1906"/>
        <w:gridCol w:w="526"/>
        <w:gridCol w:w="254"/>
        <w:gridCol w:w="526"/>
        <w:gridCol w:w="4133"/>
        <w:gridCol w:w="780"/>
        <w:gridCol w:w="519"/>
        <w:gridCol w:w="300"/>
        <w:gridCol w:w="9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540" w:hRule="atLeast"/>
          <w:jc w:val="center"/>
        </w:trPr>
        <w:tc>
          <w:tcPr>
            <w:tcW w:w="10416" w:type="dxa"/>
            <w:gridSpan w:val="10"/>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44"/>
                <w:szCs w:val="44"/>
                <w:u w:val="none"/>
              </w:rPr>
            </w:pPr>
            <w:r>
              <w:rPr>
                <w:rFonts w:hint="default" w:ascii="Times New Roman" w:hAnsi="Times New Roman" w:eastAsia="宋体" w:cs="Times New Roman"/>
                <w:b/>
                <w:bCs/>
                <w:i w:val="0"/>
                <w:color w:val="000000"/>
                <w:kern w:val="0"/>
                <w:sz w:val="44"/>
                <w:szCs w:val="44"/>
                <w:u w:val="none"/>
                <w:bdr w:val="none" w:color="auto" w:sz="0" w:space="0"/>
                <w:lang w:val="en-US" w:eastAsia="zh-CN" w:bidi="ar"/>
              </w:rPr>
              <w:t>采购需求表（服务类）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20"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项目编号</w:t>
            </w:r>
          </w:p>
        </w:tc>
        <w:tc>
          <w:tcPr>
            <w:tcW w:w="2686"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2024-JQ06-F5106</w:t>
            </w:r>
          </w:p>
        </w:tc>
        <w:tc>
          <w:tcPr>
            <w:tcW w:w="52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项目名称</w:t>
            </w:r>
          </w:p>
        </w:tc>
        <w:tc>
          <w:tcPr>
            <w:tcW w:w="491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联影核磁uMR 560保修（序列号：100012）</w:t>
            </w:r>
          </w:p>
        </w:tc>
        <w:tc>
          <w:tcPr>
            <w:tcW w:w="81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最高限价</w:t>
            </w:r>
            <w:r>
              <w:rPr>
                <w:rFonts w:hint="default" w:ascii="Times New Roman" w:hAnsi="Times New Roman" w:eastAsia="宋体" w:cs="Times New Roman"/>
                <w:b/>
                <w:bCs/>
                <w:i w:val="0"/>
                <w:color w:val="000000"/>
                <w:kern w:val="0"/>
                <w:sz w:val="20"/>
                <w:szCs w:val="20"/>
                <w:u w:val="none"/>
                <w:lang w:val="en-US" w:eastAsia="zh-CN" w:bidi="ar"/>
              </w:rPr>
              <w:br w:type="textWrapping"/>
            </w:r>
            <w:bookmarkStart w:id="0" w:name="_GoBack"/>
            <w:bookmarkEnd w:id="0"/>
            <w:r>
              <w:rPr>
                <w:rFonts w:hint="default" w:ascii="Times New Roman" w:hAnsi="Times New Roman" w:eastAsia="宋体" w:cs="Times New Roman"/>
                <w:b/>
                <w:bCs/>
                <w:i w:val="0"/>
                <w:color w:val="000000"/>
                <w:kern w:val="0"/>
                <w:sz w:val="20"/>
                <w:szCs w:val="20"/>
                <w:u w:val="none"/>
                <w:lang w:val="en-US" w:eastAsia="zh-CN" w:bidi="ar"/>
              </w:rPr>
              <w:t>（万元）</w:t>
            </w:r>
          </w:p>
        </w:tc>
        <w:tc>
          <w:tcPr>
            <w:tcW w:w="97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0"/>
                <w:szCs w:val="20"/>
                <w:u w:val="none"/>
                <w:bdr w:val="none" w:color="auto" w:sz="0" w:space="0"/>
                <w:lang w:val="en-US" w:eastAsia="zh-CN" w:bidi="ar"/>
              </w:rPr>
            </w:pPr>
            <w:r>
              <w:rPr>
                <w:rFonts w:hint="default" w:ascii="Times New Roman" w:hAnsi="Times New Roman" w:eastAsia="宋体" w:cs="Times New Roman"/>
                <w:i w:val="0"/>
                <w:color w:val="000000"/>
                <w:kern w:val="0"/>
                <w:sz w:val="20"/>
                <w:szCs w:val="20"/>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20"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序号</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需求名称</w:t>
            </w:r>
          </w:p>
        </w:tc>
        <w:tc>
          <w:tcPr>
            <w:tcW w:w="78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参数性质</w:t>
            </w:r>
          </w:p>
        </w:tc>
        <w:tc>
          <w:tcPr>
            <w:tcW w:w="5439"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需求具体内容</w:t>
            </w:r>
          </w:p>
        </w:tc>
        <w:tc>
          <w:tcPr>
            <w:tcW w:w="5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是否量化</w:t>
            </w:r>
          </w:p>
        </w:tc>
        <w:tc>
          <w:tcPr>
            <w:tcW w:w="127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jc w:val="center"/>
        </w:trPr>
        <w:tc>
          <w:tcPr>
            <w:tcW w:w="10416" w:type="dxa"/>
            <w:gridSpan w:val="10"/>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25"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1</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基本要求</w:t>
            </w:r>
          </w:p>
        </w:tc>
        <w:tc>
          <w:tcPr>
            <w:tcW w:w="78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439"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保修涵盖uMR 560设备所有电子系统（含计算机系统）、磁体、线圈、制冷系统（含冷头、压缩机、吸附器、液氦）、水冷机（压缩机、室外风机等）、工作站等，合同期内不再收取任何费用。</w:t>
            </w:r>
          </w:p>
        </w:tc>
        <w:tc>
          <w:tcPr>
            <w:tcW w:w="5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27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提供保修服务方案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440"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2</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投标企业要求</w:t>
            </w:r>
          </w:p>
        </w:tc>
        <w:tc>
          <w:tcPr>
            <w:tcW w:w="78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439"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投标人是原厂或原厂合法授权代理商，须具有医疗设备维修企业资格(即营业执照的经营范围包括医疗器械维修或专用设备修理)，并在过去5年内无重大维修事故及法律纠纷。</w:t>
            </w:r>
          </w:p>
        </w:tc>
        <w:tc>
          <w:tcPr>
            <w:tcW w:w="5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27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bdr w:val="none" w:color="auto" w:sz="0" w:space="0"/>
                <w:lang w:val="en-US" w:eastAsia="zh-CN" w:bidi="ar"/>
              </w:rPr>
              <w:t>提供授权书，营业执照，过去五年内无重大维修事故及法律纠纷承诺书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20"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3</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专业团队</w:t>
            </w:r>
          </w:p>
        </w:tc>
        <w:tc>
          <w:tcPr>
            <w:tcW w:w="78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439"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实际服务提供商在国内拥有专业的技术支持团队≥3人，并提供经原厂认证的有效期内资质证明文件，且其中至少1名要求具备大于5年的实际服务提供商连续服务年限。</w:t>
            </w:r>
          </w:p>
        </w:tc>
        <w:tc>
          <w:tcPr>
            <w:tcW w:w="5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27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提供姓名、资质证明文件及在岗社保证明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40"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4</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维保经验</w:t>
            </w:r>
          </w:p>
        </w:tc>
        <w:tc>
          <w:tcPr>
            <w:tcW w:w="78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439"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实际服务提供商应具备uMR 560设备的维保经验，用户≥3家。</w:t>
            </w:r>
          </w:p>
        </w:tc>
        <w:tc>
          <w:tcPr>
            <w:tcW w:w="5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27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提供维保合同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40"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5</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专业工具</w:t>
            </w:r>
          </w:p>
        </w:tc>
        <w:tc>
          <w:tcPr>
            <w:tcW w:w="78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439"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实际服务提供商须具有经校正的维修、保养uMR 560设备的专业维修工具、仪器。</w:t>
            </w:r>
          </w:p>
        </w:tc>
        <w:tc>
          <w:tcPr>
            <w:tcW w:w="5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27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40"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6</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备件库</w:t>
            </w:r>
          </w:p>
        </w:tc>
        <w:tc>
          <w:tcPr>
            <w:tcW w:w="78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439"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实际服务提供商必须在国内设有专业的设备零备件仓库，仓库总面积≥200平方米。</w:t>
            </w:r>
          </w:p>
        </w:tc>
        <w:tc>
          <w:tcPr>
            <w:tcW w:w="5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27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提供照片、租赁合同或产权证明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20"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7</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客服专线</w:t>
            </w:r>
          </w:p>
        </w:tc>
        <w:tc>
          <w:tcPr>
            <w:tcW w:w="78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439"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实际服务提供商须具备24小时客户服务专线电话，全年365天开通，并配有在线和远程技术支持。</w:t>
            </w:r>
          </w:p>
        </w:tc>
        <w:tc>
          <w:tcPr>
            <w:tcW w:w="5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27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60"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8</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响应时间</w:t>
            </w:r>
          </w:p>
        </w:tc>
        <w:tc>
          <w:tcPr>
            <w:tcW w:w="78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439"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响应时间：≤2小时，工程师到场时间：≤4小时。更换配件到货安装时间如下：国内库房常规配件：≤36小时。 如遇国内库房缺货，双方协商供货周期。</w:t>
            </w:r>
          </w:p>
        </w:tc>
        <w:tc>
          <w:tcPr>
            <w:tcW w:w="5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27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40"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9</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保养服务</w:t>
            </w:r>
          </w:p>
        </w:tc>
        <w:tc>
          <w:tcPr>
            <w:tcW w:w="78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439"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每年至少提供4次保养服务，包括设备安全检查、影像质量检查、设备除尘保养、运行状态检查、更换易损耗件等，保养报告需添加到年度服务报告中（需提供保养时更换保养件的照片）。</w:t>
            </w:r>
          </w:p>
        </w:tc>
        <w:tc>
          <w:tcPr>
            <w:tcW w:w="5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27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60"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10</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风险防控</w:t>
            </w:r>
          </w:p>
        </w:tc>
        <w:tc>
          <w:tcPr>
            <w:tcW w:w="52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4913"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由于实际服务提供商的维修、保养、操作等原因给设备和人员带来伤害，所造成的经济损失和法律责任由维保企业全部承担。</w:t>
            </w:r>
          </w:p>
        </w:tc>
        <w:tc>
          <w:tcPr>
            <w:tcW w:w="129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27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20"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11</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保健支持</w:t>
            </w:r>
          </w:p>
        </w:tc>
        <w:tc>
          <w:tcPr>
            <w:tcW w:w="52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4913"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维保期内有医疗保健任务时，实际服务提供商须按照院方指定要求，无偿派遣工程师赴现场保障，确保设备正常运行。</w:t>
            </w:r>
          </w:p>
        </w:tc>
        <w:tc>
          <w:tcPr>
            <w:tcW w:w="129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27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12</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开机率</w:t>
            </w:r>
          </w:p>
        </w:tc>
        <w:tc>
          <w:tcPr>
            <w:tcW w:w="52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4913"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保证设备全年开机率≥95%，按一年365天计算，即全年累计停机时间≤18天。若超出上述承诺停机天数，超出一天顺延2天保修。</w:t>
            </w:r>
          </w:p>
        </w:tc>
        <w:tc>
          <w:tcPr>
            <w:tcW w:w="129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27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13</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工单</w:t>
            </w:r>
          </w:p>
        </w:tc>
        <w:tc>
          <w:tcPr>
            <w:tcW w:w="52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4913"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每次维保任务完成后，实际服务提供商工程师应及时与使用科室和院方维修工程师的签字确认。</w:t>
            </w:r>
          </w:p>
        </w:tc>
        <w:tc>
          <w:tcPr>
            <w:tcW w:w="129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27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00"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14</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年度服务报告</w:t>
            </w:r>
          </w:p>
        </w:tc>
        <w:tc>
          <w:tcPr>
            <w:tcW w:w="52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4913"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实际服务提供商应按年提供年度服务报告，内容需包括维修单、保养报告、零配件单次维修报价。</w:t>
            </w:r>
          </w:p>
        </w:tc>
        <w:tc>
          <w:tcPr>
            <w:tcW w:w="129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27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80"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15</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维保培训</w:t>
            </w:r>
          </w:p>
        </w:tc>
        <w:tc>
          <w:tcPr>
            <w:tcW w:w="52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4913"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每年应提供不少于2人次此类型设备的维修培训，除往返程时间外，培训时间不低于3日，并颁发相关培训证书。</w:t>
            </w:r>
          </w:p>
        </w:tc>
        <w:tc>
          <w:tcPr>
            <w:tcW w:w="129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27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提供年度培训计划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jc w:val="center"/>
        </w:trPr>
        <w:tc>
          <w:tcPr>
            <w:tcW w:w="10416" w:type="dxa"/>
            <w:gridSpan w:val="10"/>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1</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交货时间、交货地点</w:t>
            </w:r>
          </w:p>
        </w:tc>
        <w:tc>
          <w:tcPr>
            <w:tcW w:w="52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4913"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合同签订后，根据需求方要求交付，交付地点由需求方指定</w:t>
            </w:r>
          </w:p>
        </w:tc>
        <w:tc>
          <w:tcPr>
            <w:tcW w:w="129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27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2</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付款及结算方式</w:t>
            </w:r>
          </w:p>
        </w:tc>
        <w:tc>
          <w:tcPr>
            <w:tcW w:w="52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4913"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每半年支付当年维保费的50%</w:t>
            </w:r>
          </w:p>
        </w:tc>
        <w:tc>
          <w:tcPr>
            <w:tcW w:w="129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27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40"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4</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保密要求</w:t>
            </w:r>
          </w:p>
        </w:tc>
        <w:tc>
          <w:tcPr>
            <w:tcW w:w="52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4913"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实际服务提供商在维保期间进行服务时不得将设备内患者信息及相关文件用存储介质拷贝</w:t>
            </w:r>
          </w:p>
        </w:tc>
        <w:tc>
          <w:tcPr>
            <w:tcW w:w="129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27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0"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3</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备件要求</w:t>
            </w:r>
          </w:p>
        </w:tc>
        <w:tc>
          <w:tcPr>
            <w:tcW w:w="52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4913"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所更换的备件必须是原厂零备件，满足设备运行要求，不会给设备带来危害</w:t>
            </w:r>
          </w:p>
        </w:tc>
        <w:tc>
          <w:tcPr>
            <w:tcW w:w="129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27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0"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5</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质量保证</w:t>
            </w:r>
          </w:p>
        </w:tc>
        <w:tc>
          <w:tcPr>
            <w:tcW w:w="52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4913"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维保期结束前15天内所更换配件仍需遵循配件单独保修时间（配件保修期≥90天）</w:t>
            </w:r>
          </w:p>
        </w:tc>
        <w:tc>
          <w:tcPr>
            <w:tcW w:w="129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27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6</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服务期限</w:t>
            </w:r>
          </w:p>
        </w:tc>
        <w:tc>
          <w:tcPr>
            <w:tcW w:w="52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4913"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3年</w:t>
            </w:r>
          </w:p>
        </w:tc>
        <w:tc>
          <w:tcPr>
            <w:tcW w:w="129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27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jc w:val="center"/>
        </w:trPr>
        <w:tc>
          <w:tcPr>
            <w:tcW w:w="10416" w:type="dxa"/>
            <w:gridSpan w:val="10"/>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default" w:ascii="Times New Roman" w:hAnsi="Times New Roman" w:eastAsia="宋体" w:cs="Times New Roman"/>
                <w:i w:val="0"/>
                <w:iCs w:val="0"/>
                <w:color w:val="000000"/>
                <w:kern w:val="0"/>
                <w:sz w:val="18"/>
                <w:szCs w:val="18"/>
              </w:rPr>
            </w:pPr>
            <w:r>
              <w:rPr>
                <w:rFonts w:hint="default" w:ascii="Times New Roman" w:hAnsi="Times New Roman" w:eastAsia="宋体" w:cs="Times New Roman"/>
                <w:i w:val="0"/>
                <w:iCs w:val="0"/>
                <w:color w:val="000000"/>
                <w:kern w:val="0"/>
                <w:sz w:val="18"/>
                <w:szCs w:val="18"/>
              </w:rPr>
              <w:t>注：1.★指标为必须响应指标，任意一项不满足要求即做废标处理；</w:t>
            </w:r>
          </w:p>
          <w:p>
            <w:pPr>
              <w:keepNext w:val="0"/>
              <w:keepLines w:val="0"/>
              <w:widowControl/>
              <w:suppressLineNumbers w:val="0"/>
              <w:ind w:firstLine="360" w:firstLineChars="200"/>
              <w:jc w:val="both"/>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iCs w:val="0"/>
                <w:color w:val="000000"/>
                <w:kern w:val="0"/>
                <w:sz w:val="18"/>
                <w:szCs w:val="18"/>
              </w:rPr>
              <w:t>2.★标识的指标，需逐条按备注要求提供证明材料，未明确的可由企业提供承诺</w:t>
            </w:r>
            <w:r>
              <w:rPr>
                <w:rFonts w:hint="default" w:ascii="Times New Roman" w:hAnsi="Times New Roman" w:eastAsia="宋体" w:cs="Times New Roman"/>
                <w:i w:val="0"/>
                <w:iCs w:val="0"/>
                <w:color w:val="000000"/>
                <w:kern w:val="0"/>
                <w:sz w:val="18"/>
                <w:szCs w:val="18"/>
                <w:lang w:eastAsia="zh-CN"/>
              </w:rPr>
              <w:t>。</w:t>
            </w:r>
          </w:p>
        </w:tc>
      </w:tr>
    </w:tbl>
    <w:p>
      <w:pPr>
        <w:pStyle w:val="2"/>
      </w:pPr>
    </w:p>
    <w:sectPr>
      <w:pgSz w:w="11906" w:h="16838"/>
      <w:pgMar w:top="1440" w:right="1800" w:bottom="1440" w:left="1800" w:header="851" w:footer="992" w:gutter="0"/>
      <w:pgBorders w:offsetFrom="page">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altName w:val="宋体-方正超大字符集"/>
    <w:panose1 w:val="00000000000000000000"/>
    <w:charset w:val="00"/>
    <w:family w:val="auto"/>
    <w:pitch w:val="default"/>
    <w:sig w:usb0="00000000" w:usb1="00000000" w:usb2="00000000" w:usb3="00000000" w:csb0="00000000" w:csb1="00000000"/>
  </w:font>
  <w:font w:name="宋体-方正超大字符集">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E47A74"/>
    <w:rsid w:val="00C275F2"/>
    <w:rsid w:val="0417711A"/>
    <w:rsid w:val="0776313E"/>
    <w:rsid w:val="0E4E26E4"/>
    <w:rsid w:val="0EA05D95"/>
    <w:rsid w:val="0F10689A"/>
    <w:rsid w:val="0F29126A"/>
    <w:rsid w:val="12AA1277"/>
    <w:rsid w:val="15901BB5"/>
    <w:rsid w:val="187575BF"/>
    <w:rsid w:val="1CE47A74"/>
    <w:rsid w:val="1CF64E69"/>
    <w:rsid w:val="1D2762DF"/>
    <w:rsid w:val="2255653A"/>
    <w:rsid w:val="26D44EE5"/>
    <w:rsid w:val="27147707"/>
    <w:rsid w:val="2A1104DE"/>
    <w:rsid w:val="2B9D1FDF"/>
    <w:rsid w:val="2BB40B25"/>
    <w:rsid w:val="2C48216D"/>
    <w:rsid w:val="2F1C2362"/>
    <w:rsid w:val="2F31235C"/>
    <w:rsid w:val="2FE225DA"/>
    <w:rsid w:val="316F67A2"/>
    <w:rsid w:val="34012480"/>
    <w:rsid w:val="35A13BBE"/>
    <w:rsid w:val="35B464C1"/>
    <w:rsid w:val="362C666B"/>
    <w:rsid w:val="38D15204"/>
    <w:rsid w:val="395F5254"/>
    <w:rsid w:val="3E7E57C4"/>
    <w:rsid w:val="3EDC2241"/>
    <w:rsid w:val="40662CE6"/>
    <w:rsid w:val="428521FA"/>
    <w:rsid w:val="42F078BF"/>
    <w:rsid w:val="43353E85"/>
    <w:rsid w:val="43AF33F4"/>
    <w:rsid w:val="443E5628"/>
    <w:rsid w:val="45EA7DE8"/>
    <w:rsid w:val="48B80DE0"/>
    <w:rsid w:val="4A232AB8"/>
    <w:rsid w:val="4A995649"/>
    <w:rsid w:val="4E3E36FB"/>
    <w:rsid w:val="503C14D6"/>
    <w:rsid w:val="50C83518"/>
    <w:rsid w:val="55B92F41"/>
    <w:rsid w:val="578560AC"/>
    <w:rsid w:val="5CB80D4B"/>
    <w:rsid w:val="5DF91893"/>
    <w:rsid w:val="64EE413F"/>
    <w:rsid w:val="65DF679A"/>
    <w:rsid w:val="65E36AFE"/>
    <w:rsid w:val="66BE2F36"/>
    <w:rsid w:val="6B2471F6"/>
    <w:rsid w:val="6F071D1B"/>
    <w:rsid w:val="70F779BD"/>
    <w:rsid w:val="72072179"/>
    <w:rsid w:val="74793341"/>
    <w:rsid w:val="782F4201"/>
    <w:rsid w:val="7B705122"/>
    <w:rsid w:val="7C442606"/>
    <w:rsid w:val="7D1168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2">
    <w:name w:val="Default"/>
    <w:unhideWhenUsed/>
    <w:qFormat/>
    <w:uiPriority w:val="0"/>
    <w:pPr>
      <w:widowControl w:val="0"/>
      <w:autoSpaceDE w:val="0"/>
      <w:autoSpaceDN w:val="0"/>
    </w:pPr>
    <w:rPr>
      <w:rFonts w:hint="eastAsia" w:ascii="黑体" w:hAnsi="黑体" w:eastAsia="黑体" w:cs="Times New Roman"/>
      <w:color w:val="000000"/>
      <w:sz w:val="24"/>
      <w:szCs w:val="22"/>
      <w:lang w:val="en-US" w:eastAsia="zh-CN" w:bidi="ar-SA"/>
    </w:rPr>
  </w:style>
  <w:style w:type="character" w:customStyle="1" w:styleId="5">
    <w:name w:val="font31"/>
    <w:basedOn w:val="4"/>
    <w:qFormat/>
    <w:uiPriority w:val="0"/>
    <w:rPr>
      <w:rFonts w:hint="eastAsia" w:ascii="黑体" w:hAnsi="宋体" w:eastAsia="黑体" w:cs="黑体"/>
      <w:color w:val="000000"/>
      <w:sz w:val="20"/>
      <w:szCs w:val="20"/>
      <w:u w:val="none"/>
    </w:rPr>
  </w:style>
  <w:style w:type="character" w:customStyle="1" w:styleId="6">
    <w:name w:val="font11"/>
    <w:basedOn w:val="4"/>
    <w:qFormat/>
    <w:uiPriority w:val="0"/>
    <w:rPr>
      <w:rFonts w:hint="eastAsia" w:ascii="黑体" w:hAnsi="宋体" w:eastAsia="黑体" w:cs="黑体"/>
      <w:color w:val="000000"/>
      <w:sz w:val="20"/>
      <w:szCs w:val="20"/>
      <w:u w:val="none"/>
    </w:rPr>
  </w:style>
  <w:style w:type="character" w:customStyle="1" w:styleId="7">
    <w:name w:val="font61"/>
    <w:basedOn w:val="4"/>
    <w:qFormat/>
    <w:uiPriority w:val="0"/>
    <w:rPr>
      <w:rFonts w:hint="eastAsia" w:ascii="黑体" w:hAnsi="宋体" w:eastAsia="黑体" w:cs="黑体"/>
      <w:i/>
      <w:color w:val="000000"/>
      <w:sz w:val="20"/>
      <w:szCs w:val="20"/>
      <w:u w:val="none"/>
    </w:rPr>
  </w:style>
  <w:style w:type="character" w:customStyle="1" w:styleId="8">
    <w:name w:val="font101"/>
    <w:basedOn w:val="4"/>
    <w:qFormat/>
    <w:uiPriority w:val="0"/>
    <w:rPr>
      <w:rFonts w:hint="eastAsia" w:ascii="宋体" w:hAnsi="宋体" w:eastAsia="宋体" w:cs="宋体"/>
      <w:i/>
      <w:color w:val="000000"/>
      <w:sz w:val="20"/>
      <w:szCs w:val="20"/>
      <w:u w:val="none"/>
    </w:rPr>
  </w:style>
  <w:style w:type="character" w:customStyle="1" w:styleId="9">
    <w:name w:val="font51"/>
    <w:basedOn w:val="4"/>
    <w:qFormat/>
    <w:uiPriority w:val="0"/>
    <w:rPr>
      <w:rFonts w:hint="eastAsia" w:ascii="黑体" w:hAnsi="宋体" w:eastAsia="黑体" w:cs="黑体"/>
      <w:color w:val="000000"/>
      <w:sz w:val="20"/>
      <w:szCs w:val="20"/>
      <w:u w:val="none"/>
    </w:rPr>
  </w:style>
  <w:style w:type="character" w:customStyle="1" w:styleId="10">
    <w:name w:val="font112"/>
    <w:basedOn w:val="4"/>
    <w:qFormat/>
    <w:uiPriority w:val="0"/>
    <w:rPr>
      <w:rFonts w:hint="eastAsia" w:ascii="黑体" w:hAnsi="宋体" w:eastAsia="黑体" w:cs="黑体"/>
      <w:i/>
      <w:color w:val="000000"/>
      <w:sz w:val="20"/>
      <w:szCs w:val="20"/>
      <w:u w:val="none"/>
    </w:rPr>
  </w:style>
  <w:style w:type="character" w:customStyle="1" w:styleId="11">
    <w:name w:val="font131"/>
    <w:basedOn w:val="4"/>
    <w:qFormat/>
    <w:uiPriority w:val="0"/>
    <w:rPr>
      <w:rFonts w:hint="eastAsia" w:ascii="黑体" w:hAnsi="宋体" w:eastAsia="黑体" w:cs="黑体"/>
      <w:i/>
      <w:color w:val="FF0000"/>
      <w:sz w:val="20"/>
      <w:szCs w:val="20"/>
      <w:u w:val="none"/>
    </w:rPr>
  </w:style>
  <w:style w:type="character" w:customStyle="1" w:styleId="12">
    <w:name w:val="font91"/>
    <w:basedOn w:val="4"/>
    <w:qFormat/>
    <w:uiPriority w:val="0"/>
    <w:rPr>
      <w:rFonts w:ascii="Wingdings" w:hAnsi="Wingdings" w:cs="Wingdings"/>
      <w:color w:val="000000"/>
      <w:sz w:val="20"/>
      <w:szCs w:val="20"/>
      <w:u w:val="none"/>
    </w:rPr>
  </w:style>
  <w:style w:type="character" w:customStyle="1" w:styleId="13">
    <w:name w:val="font41"/>
    <w:basedOn w:val="4"/>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潮州市直及下属单位</Company>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2025-02-20T02:59:00Z</dcterms:created>
  <dc:creator>DOCTOR</dc:creator>
  <cp:lastModifiedBy>DOCTOR</cp:lastModifiedBy>
  <dcterms:modified xsi:type="dcterms:W3CDTF">2025-02-25T02:33:32Z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