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hAnsi="黑体" w:cs="黑体"/>
          <w:b/>
          <w:bCs/>
          <w:kern w:val="0"/>
          <w:sz w:val="32"/>
          <w:szCs w:val="44"/>
          <w:highlight w:val="none"/>
          <w:lang w:val="en-US" w:eastAsia="zh-CN" w:bidi="ar"/>
        </w:rPr>
      </w:pPr>
      <w:r>
        <w:rPr>
          <w:rFonts w:hint="eastAsia" w:hAnsi="黑体" w:cs="黑体"/>
          <w:b/>
          <w:bCs/>
          <w:kern w:val="0"/>
          <w:sz w:val="32"/>
          <w:szCs w:val="44"/>
          <w:highlight w:val="none"/>
          <w:lang w:val="en-US" w:eastAsia="zh-CN" w:bidi="ar"/>
        </w:rPr>
        <w:t>采购需求表（物资类）</w:t>
      </w:r>
    </w:p>
    <w:tbl>
      <w:tblPr>
        <w:tblStyle w:val="3"/>
        <w:tblW w:w="829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830"/>
        <w:gridCol w:w="830"/>
        <w:gridCol w:w="830"/>
        <w:gridCol w:w="535"/>
        <w:gridCol w:w="993"/>
        <w:gridCol w:w="961"/>
        <w:gridCol w:w="830"/>
        <w:gridCol w:w="830"/>
        <w:gridCol w:w="8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6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项目编号</w:t>
            </w:r>
          </w:p>
        </w:tc>
        <w:tc>
          <w:tcPr>
            <w:tcW w:w="219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2025-JQ06-W3292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项目名称</w:t>
            </w:r>
          </w:p>
        </w:tc>
        <w:tc>
          <w:tcPr>
            <w:tcW w:w="9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病理组织脱水机</w:t>
            </w:r>
          </w:p>
        </w:tc>
        <w:tc>
          <w:tcPr>
            <w:tcW w:w="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最高限价（万元）</w:t>
            </w:r>
          </w:p>
        </w:tc>
        <w:tc>
          <w:tcPr>
            <w:tcW w:w="16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6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</w:p>
        </w:tc>
        <w:tc>
          <w:tcPr>
            <w:tcW w:w="219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</w:p>
        </w:tc>
        <w:tc>
          <w:tcPr>
            <w:tcW w:w="9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</w:p>
        </w:tc>
        <w:tc>
          <w:tcPr>
            <w:tcW w:w="16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6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需求名称</w:t>
            </w:r>
          </w:p>
        </w:tc>
        <w:tc>
          <w:tcPr>
            <w:tcW w:w="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参数</w:t>
            </w: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性质</w:t>
            </w:r>
          </w:p>
        </w:tc>
        <w:tc>
          <w:tcPr>
            <w:tcW w:w="331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需求具体内容</w:t>
            </w:r>
          </w:p>
        </w:tc>
        <w:tc>
          <w:tcPr>
            <w:tcW w:w="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量化</w:t>
            </w:r>
          </w:p>
        </w:tc>
        <w:tc>
          <w:tcPr>
            <w:tcW w:w="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</w:p>
        </w:tc>
        <w:tc>
          <w:tcPr>
            <w:tcW w:w="16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</w:p>
        </w:tc>
        <w:tc>
          <w:tcPr>
            <w:tcW w:w="331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</w:trPr>
        <w:tc>
          <w:tcPr>
            <w:tcW w:w="829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基本要求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★</w:t>
            </w:r>
          </w:p>
        </w:tc>
        <w:tc>
          <w:tcPr>
            <w:tcW w:w="3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用于动物或人体标本的细胞固定、脱水、透明、浸蜡，以维持细胞形态，便于切片观察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反应缸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▲</w:t>
            </w:r>
          </w:p>
        </w:tc>
        <w:tc>
          <w:tcPr>
            <w:tcW w:w="3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反应缸为圆形设计，≥搅拌加热均匀无死角；温度范围：室温～65℃，全方位包裹式脱水缸加热，≥3层液位监测传感器。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反应缸顶盖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★</w:t>
            </w:r>
          </w:p>
        </w:tc>
        <w:tc>
          <w:tcPr>
            <w:tcW w:w="3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反应缸倾斜透明顶盖设计使蒸汽凝结，滴落回到反应缸，减少试剂损失；玻璃材质盖子脱水过程中可观察反应情况。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组织处理量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▲</w:t>
            </w:r>
          </w:p>
        </w:tc>
        <w:tc>
          <w:tcPr>
            <w:tcW w:w="3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可处理多种类型和大小的组织，最大处理量≥300个标本组织盒。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试剂站点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▲</w:t>
            </w:r>
          </w:p>
        </w:tc>
        <w:tc>
          <w:tcPr>
            <w:tcW w:w="3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 xml:space="preserve"> ≥16个试剂站点，每个试剂站点所能容纳试剂瓶的最大容量≥5L（≥6个脱水用试剂瓶；≥3个透明用试剂瓶；≥2个固定用液试剂瓶；≥2个更换用试剂瓶；≥3个冲洗用试剂瓶）。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6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蜡缸系统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▲</w:t>
            </w:r>
          </w:p>
        </w:tc>
        <w:tc>
          <w:tcPr>
            <w:tcW w:w="3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蜡缸系统：金属蜡缸，≥3个蜡缸，≥1个废蜡缸，容量：≥5L；温度范围：45℃-65℃；双重温度探测功能，通过温度比对实时监测石蜡液位。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7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试剂预热功能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</w:p>
        </w:tc>
        <w:tc>
          <w:tcPr>
            <w:tcW w:w="3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试剂预热功能：脱水剂和透明试剂可提前预热，脱水更快，效果更均匀；试剂储存温度：室温～35℃。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8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酒精浓度监测功能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▲</w:t>
            </w:r>
          </w:p>
        </w:tc>
        <w:tc>
          <w:tcPr>
            <w:tcW w:w="3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具备酒精浓度监测功能，精准控制试剂质量，保证高品质脱水；试剂更换在机身内部自动完成，无需中断脱水程序，避免操作员直接接触有害气体。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9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自动轮换功能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</w:p>
        </w:tc>
        <w:tc>
          <w:tcPr>
            <w:tcW w:w="3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试剂自动轮换功能，少液自动补充及试剂借位，全方位确保样本安全。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10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备用电池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▲</w:t>
            </w:r>
          </w:p>
        </w:tc>
        <w:tc>
          <w:tcPr>
            <w:tcW w:w="3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机器内置备用电池，待机时长≥4小时，意外断电可有效保证样本安全。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11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反应缸抽气功能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▲</w:t>
            </w:r>
          </w:p>
        </w:tc>
        <w:tc>
          <w:tcPr>
            <w:tcW w:w="3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反应缸有向下抽气功能，可控制有害气体排放；高锰酸钾和活性炭双重过滤系统，保证操作者安全。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12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操作系统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</w:p>
        </w:tc>
        <w:tc>
          <w:tcPr>
            <w:tcW w:w="3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中文彩色触摸屏，所有信息均中文显示，USB数据传输功能；可运行不含二甲苯程序，且无需升温（至85℃），不会影响后续IHC研究；延长结束时间可编程设定，甚至无限制延期。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13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脱水缸底部搅拌部件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</w:p>
        </w:tc>
        <w:tc>
          <w:tcPr>
            <w:tcW w:w="3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 xml:space="preserve"> 全封闭磁力吸附的金属部件防止管路堵塞。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14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配置要求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★</w:t>
            </w:r>
          </w:p>
        </w:tc>
        <w:tc>
          <w:tcPr>
            <w:tcW w:w="3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主机1台；组织篮1个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15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验收标准方法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</w:p>
        </w:tc>
        <w:tc>
          <w:tcPr>
            <w:tcW w:w="3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技术偏离要求</w:t>
            </w:r>
          </w:p>
        </w:tc>
        <w:tc>
          <w:tcPr>
            <w:tcW w:w="58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1.▲标识的指标负偏离≥4项，“参数指标正负偏离情况”为0分；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2.▲标识的指标和无标识指标的负偏离≥8项，“参数指标正负偏离情况”为0分。</w:t>
            </w:r>
          </w:p>
        </w:tc>
      </w:tr>
    </w:tbl>
    <w:p/>
    <w:p>
      <w:pPr>
        <w:pStyle w:val="2"/>
        <w:rPr>
          <w:rFonts w:hint="eastAsia" w:hAnsi="黑体" w:cs="黑体"/>
          <w:b/>
          <w:bCs/>
          <w:kern w:val="0"/>
          <w:sz w:val="32"/>
          <w:szCs w:val="44"/>
          <w:highlight w:val="none"/>
          <w:lang w:val="en-US" w:eastAsia="zh-CN" w:bidi="ar"/>
        </w:rPr>
      </w:pPr>
      <w:r>
        <w:rPr>
          <w:rFonts w:hint="eastAsia" w:hAnsi="黑体" w:cs="黑体"/>
          <w:b/>
          <w:bCs/>
          <w:kern w:val="0"/>
          <w:sz w:val="32"/>
          <w:szCs w:val="44"/>
          <w:highlight w:val="none"/>
          <w:lang w:val="en-US" w:eastAsia="zh-CN" w:bidi="ar"/>
        </w:rPr>
        <w:t>商务要求</w:t>
      </w:r>
      <w:bookmarkStart w:id="0" w:name="_GoBack"/>
      <w:bookmarkEnd w:id="0"/>
    </w:p>
    <w:tbl>
      <w:tblPr>
        <w:tblStyle w:val="3"/>
        <w:tblW w:w="827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1295"/>
        <w:gridCol w:w="671"/>
        <w:gridCol w:w="4517"/>
        <w:gridCol w:w="13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需求名称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参数</w:t>
            </w: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性质</w:t>
            </w:r>
          </w:p>
        </w:tc>
        <w:tc>
          <w:tcPr>
            <w:tcW w:w="4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需求具体内容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交货时间、交货地点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★</w:t>
            </w:r>
          </w:p>
        </w:tc>
        <w:tc>
          <w:tcPr>
            <w:tcW w:w="4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付款及结算方式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★</w:t>
            </w:r>
          </w:p>
        </w:tc>
        <w:tc>
          <w:tcPr>
            <w:tcW w:w="4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履约保证金/质量保证金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★</w:t>
            </w:r>
          </w:p>
        </w:tc>
        <w:tc>
          <w:tcPr>
            <w:tcW w:w="4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验收合格后满1年无质量问题支付剩余5%（不超过5%）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产品包装和运输要求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★</w:t>
            </w:r>
          </w:p>
        </w:tc>
        <w:tc>
          <w:tcPr>
            <w:tcW w:w="4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售后服务1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（质保）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★</w:t>
            </w:r>
          </w:p>
        </w:tc>
        <w:tc>
          <w:tcPr>
            <w:tcW w:w="4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6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售后服务2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（质保）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★</w:t>
            </w:r>
          </w:p>
        </w:tc>
        <w:tc>
          <w:tcPr>
            <w:tcW w:w="4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7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售后服务3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（质保）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★</w:t>
            </w:r>
          </w:p>
        </w:tc>
        <w:tc>
          <w:tcPr>
            <w:tcW w:w="4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提供不少于5人次、2天的工程师维修培训。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8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（响应时间）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★</w:t>
            </w:r>
          </w:p>
        </w:tc>
        <w:tc>
          <w:tcPr>
            <w:tcW w:w="4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维修响应时间≤1小时，维修到达现场时间≤2小时。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9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★</w:t>
            </w:r>
          </w:p>
        </w:tc>
        <w:tc>
          <w:tcPr>
            <w:tcW w:w="4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10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专用工具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</w:p>
        </w:tc>
        <w:tc>
          <w:tcPr>
            <w:tcW w:w="4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11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★</w:t>
            </w:r>
          </w:p>
        </w:tc>
        <w:tc>
          <w:tcPr>
            <w:tcW w:w="4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应当按照统一要求在物资交付前完成打码贴签工作。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12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知识产权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★</w:t>
            </w:r>
          </w:p>
        </w:tc>
        <w:tc>
          <w:tcPr>
            <w:tcW w:w="4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  <w:lang w:val="en-US" w:eastAsia="zh-CN" w:bidi="ar"/>
              </w:rPr>
              <w:t>企业承诺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5D0DE9"/>
    <w:rsid w:val="7D5D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2025-09-28T11:53:00Z</dcterms:created>
  <dc:creator>周周</dc:creator>
  <cp:lastModifiedBy>周周</cp:lastModifiedBy>
  <dcterms:modified xsi:type="dcterms:W3CDTF">2025-09-28T11:57:55Z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