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9559" w:type="dxa"/>
        <w:tblInd w:w="0" w:type="dxa"/>
        <w:tblLayout w:type="fixed"/>
        <w:tblCellMar>
          <w:top w:w="57" w:type="dxa"/>
          <w:left w:w="108" w:type="dxa"/>
          <w:bottom w:w="57" w:type="dxa"/>
          <w:right w:w="108" w:type="dxa"/>
        </w:tblCellMar>
      </w:tblPr>
      <w:tblGrid>
        <w:gridCol w:w="717"/>
        <w:gridCol w:w="898"/>
        <w:gridCol w:w="1090"/>
        <w:gridCol w:w="1162"/>
        <w:gridCol w:w="2775"/>
        <w:gridCol w:w="1323"/>
        <w:gridCol w:w="1594"/>
      </w:tblGrid>
      <w:tr>
        <w:tblPrEx>
          <w:tblLayout w:type="fixed"/>
          <w:tblCellMar>
            <w:top w:w="57" w:type="dxa"/>
            <w:left w:w="108" w:type="dxa"/>
            <w:bottom w:w="57" w:type="dxa"/>
            <w:right w:w="108" w:type="dxa"/>
          </w:tblCellMar>
        </w:tblPrEx>
        <w:trPr>
          <w:trHeight w:val="679"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kern w:val="0"/>
                <w:sz w:val="21"/>
                <w:szCs w:val="21"/>
                <w:lang w:eastAsia="zh-CN"/>
              </w:rPr>
            </w:pPr>
            <w:r>
              <w:rPr>
                <w:rFonts w:hint="eastAsia" w:ascii="宋体" w:hAnsi="宋体" w:cs="宋体"/>
                <w:b/>
                <w:bCs/>
                <w:kern w:val="0"/>
                <w:sz w:val="21"/>
                <w:szCs w:val="21"/>
                <w:lang w:eastAsia="zh-CN"/>
              </w:rPr>
              <w:t>项目名称</w:t>
            </w:r>
          </w:p>
        </w:tc>
        <w:tc>
          <w:tcPr>
            <w:tcW w:w="198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bCs/>
                <w:kern w:val="0"/>
                <w:sz w:val="21"/>
                <w:szCs w:val="21"/>
                <w:lang w:eastAsia="zh-CN"/>
              </w:rPr>
            </w:pPr>
            <w:r>
              <w:rPr>
                <w:rFonts w:hint="eastAsia" w:ascii="宋体" w:hAnsi="宋体" w:cs="宋体"/>
                <w:b/>
                <w:bCs/>
                <w:kern w:val="0"/>
                <w:sz w:val="21"/>
                <w:szCs w:val="21"/>
                <w:lang w:eastAsia="zh-CN"/>
              </w:rPr>
              <w:t>EndNote机构版</w:t>
            </w:r>
          </w:p>
        </w:tc>
        <w:tc>
          <w:tcPr>
            <w:tcW w:w="11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kern w:val="0"/>
                <w:sz w:val="21"/>
                <w:szCs w:val="21"/>
                <w:lang w:eastAsia="zh-CN"/>
              </w:rPr>
            </w:pPr>
            <w:r>
              <w:rPr>
                <w:rFonts w:hint="eastAsia" w:ascii="宋体" w:hAnsi="宋体" w:cs="宋体"/>
                <w:b/>
                <w:bCs/>
                <w:kern w:val="0"/>
                <w:sz w:val="21"/>
                <w:szCs w:val="21"/>
                <w:lang w:eastAsia="zh-CN"/>
              </w:rPr>
              <w:t>项目编号</w:t>
            </w:r>
          </w:p>
        </w:tc>
        <w:tc>
          <w:tcPr>
            <w:tcW w:w="27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bCs/>
                <w:kern w:val="0"/>
                <w:sz w:val="21"/>
                <w:szCs w:val="21"/>
                <w:lang w:val="en-US" w:eastAsia="zh-CN"/>
              </w:rPr>
            </w:pPr>
            <w:r>
              <w:rPr>
                <w:rFonts w:hint="eastAsia" w:ascii="宋体" w:hAnsi="宋体" w:cs="宋体"/>
                <w:b/>
                <w:bCs/>
                <w:kern w:val="0"/>
                <w:sz w:val="21"/>
                <w:szCs w:val="21"/>
                <w:lang w:val="en-US" w:eastAsia="zh-CN"/>
              </w:rPr>
              <w:t>2025-JQ06-F1077</w:t>
            </w:r>
          </w:p>
        </w:tc>
        <w:tc>
          <w:tcPr>
            <w:tcW w:w="132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bCs/>
                <w:kern w:val="0"/>
                <w:sz w:val="21"/>
                <w:szCs w:val="21"/>
                <w:lang w:val="en-US" w:eastAsia="zh-CN"/>
              </w:rPr>
            </w:pPr>
            <w:r>
              <w:rPr>
                <w:rFonts w:hint="eastAsia" w:ascii="宋体" w:hAnsi="宋体" w:cs="宋体"/>
                <w:b/>
                <w:bCs/>
                <w:kern w:val="0"/>
                <w:sz w:val="21"/>
                <w:szCs w:val="21"/>
                <w:lang w:val="en-US" w:eastAsia="zh-CN"/>
              </w:rPr>
              <w:t>预算</w:t>
            </w:r>
          </w:p>
        </w:tc>
        <w:tc>
          <w:tcPr>
            <w:tcW w:w="1594"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bCs/>
                <w:kern w:val="0"/>
                <w:sz w:val="21"/>
                <w:szCs w:val="21"/>
                <w:lang w:val="en-US" w:eastAsia="zh-CN"/>
              </w:rPr>
            </w:pPr>
            <w:r>
              <w:rPr>
                <w:rFonts w:hint="eastAsia" w:ascii="宋体" w:hAnsi="宋体" w:cs="宋体"/>
                <w:b/>
                <w:bCs/>
                <w:kern w:val="0"/>
                <w:sz w:val="21"/>
                <w:szCs w:val="21"/>
                <w:lang w:val="en-US" w:eastAsia="zh-CN"/>
              </w:rPr>
              <w:t>21.50万元</w:t>
            </w:r>
          </w:p>
        </w:tc>
      </w:tr>
      <w:tr>
        <w:tblPrEx>
          <w:tblLayout w:type="fixed"/>
          <w:tblCellMar>
            <w:top w:w="57" w:type="dxa"/>
            <w:left w:w="108" w:type="dxa"/>
            <w:bottom w:w="57" w:type="dxa"/>
            <w:right w:w="108" w:type="dxa"/>
          </w:tblCellMar>
        </w:tblPrEx>
        <w:trPr>
          <w:trHeight w:val="765"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1"/>
                <w:szCs w:val="21"/>
              </w:rPr>
            </w:pPr>
            <w:r>
              <w:rPr>
                <w:rFonts w:hint="eastAsia" w:ascii="宋体" w:hAnsi="宋体" w:eastAsia="宋体" w:cs="宋体"/>
                <w:b/>
                <w:bCs/>
                <w:kern w:val="0"/>
                <w:sz w:val="21"/>
                <w:szCs w:val="21"/>
              </w:rPr>
              <w:t>序号</w:t>
            </w:r>
          </w:p>
        </w:tc>
        <w:tc>
          <w:tcPr>
            <w:tcW w:w="89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需求名称</w:t>
            </w:r>
          </w:p>
        </w:tc>
        <w:tc>
          <w:tcPr>
            <w:tcW w:w="10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参数</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1"/>
                <w:szCs w:val="21"/>
              </w:rPr>
            </w:pPr>
            <w:r>
              <w:rPr>
                <w:rFonts w:hint="eastAsia" w:ascii="宋体" w:hAnsi="宋体" w:eastAsia="宋体" w:cs="宋体"/>
                <w:b/>
                <w:bCs/>
                <w:kern w:val="0"/>
                <w:sz w:val="21"/>
                <w:szCs w:val="21"/>
              </w:rPr>
              <w:t>性质</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1"/>
                <w:szCs w:val="21"/>
              </w:rPr>
            </w:pPr>
            <w:r>
              <w:rPr>
                <w:rFonts w:hint="eastAsia" w:ascii="宋体" w:hAnsi="宋体" w:eastAsia="宋体" w:cs="宋体"/>
                <w:b/>
                <w:bCs/>
                <w:kern w:val="0"/>
                <w:sz w:val="21"/>
                <w:szCs w:val="21"/>
              </w:rPr>
              <w:t>需求具体内容</w:t>
            </w:r>
          </w:p>
        </w:tc>
        <w:tc>
          <w:tcPr>
            <w:tcW w:w="1594"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1"/>
                <w:szCs w:val="21"/>
              </w:rPr>
            </w:pPr>
            <w:r>
              <w:rPr>
                <w:rFonts w:hint="eastAsia" w:ascii="宋体" w:hAnsi="宋体" w:eastAsia="宋体" w:cs="宋体"/>
                <w:b/>
                <w:bCs/>
                <w:kern w:val="0"/>
                <w:sz w:val="21"/>
                <w:szCs w:val="21"/>
              </w:rPr>
              <w:t>备注（证明材料等其他要求）</w:t>
            </w:r>
          </w:p>
        </w:tc>
      </w:tr>
      <w:tr>
        <w:tblPrEx>
          <w:tblLayout w:type="fixed"/>
          <w:tblCellMar>
            <w:top w:w="57" w:type="dxa"/>
            <w:left w:w="108" w:type="dxa"/>
            <w:bottom w:w="57" w:type="dxa"/>
            <w:right w:w="108" w:type="dxa"/>
          </w:tblCellMar>
        </w:tblPrEx>
        <w:trPr>
          <w:trHeight w:val="23" w:hRule="atLeast"/>
        </w:trPr>
        <w:tc>
          <w:tcPr>
            <w:tcW w:w="9559"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kern w:val="0"/>
                <w:sz w:val="21"/>
                <w:szCs w:val="21"/>
              </w:rPr>
            </w:pPr>
            <w:r>
              <w:rPr>
                <w:rFonts w:hint="eastAsia" w:ascii="宋体" w:hAnsi="宋体" w:cs="宋体"/>
                <w:b/>
                <w:bCs/>
                <w:kern w:val="0"/>
                <w:sz w:val="21"/>
                <w:szCs w:val="21"/>
                <w:lang w:eastAsia="zh-CN"/>
              </w:rPr>
              <w:t>商务</w:t>
            </w:r>
            <w:r>
              <w:rPr>
                <w:rFonts w:hint="eastAsia" w:ascii="宋体" w:hAnsi="宋体" w:eastAsia="宋体" w:cs="宋体"/>
                <w:b/>
                <w:bCs/>
                <w:kern w:val="0"/>
                <w:sz w:val="21"/>
                <w:szCs w:val="21"/>
              </w:rPr>
              <w:t>要求</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宋体" w:hAnsi="宋体" w:eastAsia="宋体" w:cs="宋体"/>
                <w:sz w:val="21"/>
                <w:szCs w:val="21"/>
                <w:lang w:val="en-US" w:eastAsia="zh-CN"/>
              </w:rPr>
              <w:t>1</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sz w:val="21"/>
                <w:szCs w:val="21"/>
                <w:lang w:val="en-US" w:eastAsia="zh-CN"/>
              </w:rPr>
              <w:t>交货时间、交货地点</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宋体" w:hAnsi="宋体" w:eastAsia="宋体" w:cs="宋体"/>
                <w:sz w:val="21"/>
                <w:szCs w:val="21"/>
                <w:lang w:val="en-US" w:eastAsia="zh-CN"/>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iCs/>
                <w:kern w:val="0"/>
                <w:sz w:val="20"/>
                <w:szCs w:val="20"/>
              </w:rPr>
            </w:pPr>
            <w:r>
              <w:rPr>
                <w:rFonts w:hint="eastAsia" w:ascii="宋体" w:hAnsi="宋体" w:eastAsia="宋体" w:cs="宋体"/>
                <w:sz w:val="21"/>
                <w:szCs w:val="21"/>
                <w:lang w:val="en-US" w:eastAsia="zh-CN"/>
              </w:rPr>
              <w:t>合同签订后1个月内交付</w:t>
            </w:r>
            <w:bookmarkStart w:id="0" w:name="_GoBack"/>
            <w:bookmarkEnd w:id="0"/>
            <w:r>
              <w:rPr>
                <w:rFonts w:hint="eastAsia" w:ascii="宋体" w:hAnsi="宋体" w:eastAsia="宋体" w:cs="宋体"/>
                <w:sz w:val="21"/>
                <w:szCs w:val="21"/>
                <w:lang w:val="en-US" w:eastAsia="zh-CN"/>
              </w:rPr>
              <w:t>，交付地点由需求单位指定。</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宋体" w:hAnsi="宋体" w:eastAsia="宋体" w:cs="宋体"/>
                <w:sz w:val="21"/>
                <w:szCs w:val="21"/>
                <w:lang w:val="en-US" w:eastAsia="zh-CN"/>
              </w:rPr>
              <w:t>2</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sz w:val="21"/>
                <w:szCs w:val="21"/>
                <w:lang w:val="en-US" w:eastAsia="zh-CN"/>
              </w:rPr>
              <w:t>付款及结算方式</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宋体" w:hAnsi="宋体" w:eastAsia="宋体" w:cs="宋体"/>
                <w:sz w:val="21"/>
                <w:szCs w:val="21"/>
                <w:lang w:val="en-US" w:eastAsia="zh-CN"/>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Cs/>
                <w:kern w:val="0"/>
                <w:sz w:val="20"/>
                <w:szCs w:val="20"/>
              </w:rPr>
            </w:pPr>
            <w:r>
              <w:rPr>
                <w:rFonts w:hint="eastAsia" w:ascii="宋体" w:hAnsi="宋体" w:eastAsia="宋体" w:cs="宋体"/>
                <w:sz w:val="21"/>
                <w:szCs w:val="21"/>
                <w:lang w:val="en-US" w:eastAsia="zh-CN"/>
              </w:rPr>
              <w:t>签订合同并授权服务期限后支付30%，验收合格后付70%。</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lang w:val="en-US" w:eastAsia="zh-CN"/>
              </w:rPr>
            </w:pPr>
            <w:r>
              <w:rPr>
                <w:rFonts w:hint="eastAsia" w:ascii="宋体" w:hAnsi="宋体" w:eastAsia="宋体" w:cs="宋体"/>
                <w:sz w:val="21"/>
                <w:szCs w:val="21"/>
                <w:lang w:val="en-US" w:eastAsia="zh-CN"/>
              </w:rPr>
              <w:t>3</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sz w:val="21"/>
                <w:szCs w:val="21"/>
                <w:lang w:val="en-US" w:eastAsia="zh-CN"/>
              </w:rPr>
              <w:t>履约保证金</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宋体" w:hAnsi="宋体" w:eastAsia="宋体" w:cs="宋体"/>
                <w:sz w:val="21"/>
                <w:szCs w:val="21"/>
                <w:lang w:val="en-US" w:eastAsia="zh-CN"/>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Cs/>
                <w:kern w:val="0"/>
                <w:sz w:val="20"/>
                <w:szCs w:val="20"/>
              </w:rPr>
            </w:pPr>
            <w:r>
              <w:rPr>
                <w:rFonts w:hint="eastAsia" w:ascii="宋体" w:hAnsi="宋体" w:eastAsia="宋体" w:cs="宋体"/>
                <w:sz w:val="21"/>
                <w:szCs w:val="21"/>
                <w:lang w:val="en-US" w:eastAsia="zh-CN"/>
              </w:rPr>
              <w:t>成交金额的5%。供应商在签订合同前向需求单位缴纳足额履约保证金。履约保证金于合同履约完成并执行了需求单位的审批流程后无息退还。若供应商未能履行合同义务或存在违约行为，需求单位可依据合同约定扣除相应比例的履约保证金作为违约金。</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val="en-US" w:eastAsia="zh-CN"/>
              </w:rPr>
            </w:pPr>
            <w:r>
              <w:rPr>
                <w:rFonts w:hint="eastAsia" w:ascii="宋体" w:hAnsi="宋体" w:eastAsia="宋体" w:cs="宋体"/>
                <w:sz w:val="21"/>
                <w:szCs w:val="21"/>
                <w:lang w:val="en-US" w:eastAsia="zh-CN"/>
              </w:rPr>
              <w:t>4</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售后服务1</w:t>
            </w:r>
          </w:p>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sz w:val="21"/>
                <w:szCs w:val="21"/>
                <w:lang w:val="en-US" w:eastAsia="zh-CN"/>
              </w:rPr>
              <w:t>（质保）</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宋体" w:hAnsi="宋体" w:eastAsia="宋体" w:cs="宋体"/>
                <w:sz w:val="21"/>
                <w:szCs w:val="21"/>
                <w:lang w:val="en-US" w:eastAsia="zh-CN"/>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iCs/>
                <w:kern w:val="0"/>
                <w:sz w:val="20"/>
                <w:szCs w:val="20"/>
              </w:rPr>
            </w:pPr>
            <w:r>
              <w:rPr>
                <w:rFonts w:hint="eastAsia" w:ascii="宋体" w:hAnsi="宋体" w:eastAsia="宋体" w:cs="宋体"/>
                <w:sz w:val="21"/>
                <w:szCs w:val="21"/>
                <w:lang w:val="en-US" w:eastAsia="zh-CN"/>
              </w:rPr>
              <w:t>数据平台7*24小时正常运行，全年因异常情况累计停止服务时间不得超过30分钟。</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宋体" w:hAnsi="宋体" w:eastAsia="宋体" w:cs="宋体"/>
                <w:sz w:val="21"/>
                <w:szCs w:val="21"/>
                <w:lang w:val="en-US" w:eastAsia="zh-CN"/>
              </w:rPr>
              <w:t>5</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售后服务2</w:t>
            </w:r>
          </w:p>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sz w:val="21"/>
                <w:szCs w:val="21"/>
                <w:lang w:val="en-US" w:eastAsia="zh-CN"/>
              </w:rPr>
              <w:t>（质保）</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宋体" w:hAnsi="宋体" w:eastAsia="宋体" w:cs="宋体"/>
                <w:sz w:val="21"/>
                <w:szCs w:val="21"/>
                <w:lang w:val="en-US" w:eastAsia="zh-CN"/>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Cs/>
                <w:kern w:val="0"/>
                <w:sz w:val="20"/>
                <w:szCs w:val="20"/>
              </w:rPr>
            </w:pPr>
            <w:r>
              <w:rPr>
                <w:rFonts w:hint="eastAsia" w:ascii="宋体" w:hAnsi="宋体" w:eastAsia="宋体" w:cs="宋体"/>
                <w:sz w:val="21"/>
                <w:szCs w:val="21"/>
                <w:lang w:val="en-US" w:eastAsia="zh-CN"/>
              </w:rPr>
              <w:t>根据需求单位要求，提供使用培训。</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eastAsia="zh-CN"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sz w:val="21"/>
                <w:szCs w:val="21"/>
                <w:lang w:val="en-US" w:eastAsia="zh-CN"/>
              </w:rPr>
              <w:t>6</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售后服务3</w:t>
            </w:r>
          </w:p>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sz w:val="21"/>
                <w:szCs w:val="21"/>
                <w:lang w:val="en-US" w:eastAsia="zh-CN"/>
              </w:rPr>
              <w:t>（质保）</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sz w:val="21"/>
                <w:szCs w:val="21"/>
                <w:lang w:val="en-US" w:eastAsia="zh-CN"/>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iCs/>
                <w:kern w:val="0"/>
                <w:sz w:val="20"/>
                <w:szCs w:val="20"/>
              </w:rPr>
            </w:pPr>
            <w:r>
              <w:rPr>
                <w:rFonts w:hint="eastAsia" w:ascii="宋体" w:hAnsi="宋体" w:eastAsia="宋体" w:cs="宋体"/>
                <w:sz w:val="21"/>
                <w:szCs w:val="21"/>
                <w:lang w:val="en-US" w:eastAsia="zh-CN"/>
              </w:rPr>
              <w:t>提供访问日志。</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eastAsia="zh-CN"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sz w:val="21"/>
                <w:szCs w:val="21"/>
                <w:lang w:val="en-US" w:eastAsia="zh-CN"/>
              </w:rPr>
              <w:t>7</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售后服务4</w:t>
            </w:r>
          </w:p>
          <w:p>
            <w:pPr>
              <w:widowControl/>
              <w:spacing w:line="240" w:lineRule="exact"/>
              <w:jc w:val="center"/>
              <w:textAlignment w:val="center"/>
              <w:rPr>
                <w:rFonts w:hint="eastAsia" w:ascii="黑体" w:hAnsi="黑体" w:eastAsia="黑体" w:cs="黑体"/>
                <w:kern w:val="0"/>
                <w:sz w:val="20"/>
                <w:szCs w:val="20"/>
                <w:lang w:val="en-US" w:eastAsia="zh-CN"/>
              </w:rPr>
            </w:pPr>
            <w:r>
              <w:rPr>
                <w:rFonts w:hint="eastAsia" w:ascii="宋体" w:hAnsi="宋体" w:eastAsia="宋体" w:cs="宋体"/>
                <w:sz w:val="21"/>
                <w:szCs w:val="21"/>
                <w:lang w:val="en-US" w:eastAsia="zh-CN"/>
              </w:rPr>
              <w:t>（响应时间）</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sz w:val="21"/>
                <w:szCs w:val="21"/>
                <w:lang w:val="en-US" w:eastAsia="zh-CN"/>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Cs/>
                <w:kern w:val="0"/>
                <w:sz w:val="20"/>
                <w:szCs w:val="20"/>
              </w:rPr>
            </w:pPr>
            <w:r>
              <w:rPr>
                <w:rFonts w:hint="eastAsia" w:ascii="宋体" w:hAnsi="宋体" w:eastAsia="宋体" w:cs="宋体"/>
                <w:sz w:val="21"/>
                <w:szCs w:val="21"/>
                <w:lang w:val="en-US" w:eastAsia="zh-CN"/>
              </w:rPr>
              <w:t>供应商技术支持响应时间不超过30分钟，如有必要技术人员需上门服务。</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cs="宋体"/>
                <w:sz w:val="21"/>
                <w:szCs w:val="21"/>
                <w:lang w:val="en-US" w:eastAsia="zh-CN"/>
              </w:rPr>
              <w:t>8</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sz w:val="21"/>
                <w:szCs w:val="21"/>
              </w:rPr>
              <w:t>物资编目编码、打码贴签要求</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sz w:val="21"/>
                <w:szCs w:val="21"/>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宋体" w:hAnsi="宋体" w:eastAsia="宋体" w:cs="宋体"/>
                <w:sz w:val="21"/>
                <w:szCs w:val="21"/>
              </w:rPr>
              <w:t>本项目服务所含配套物资有编目编码、打码贴签要求的，投标供应商应当予以明确响应，相关费用包含在报价中。</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val="en-US" w:eastAsia="zh-CN"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cs="宋体"/>
                <w:sz w:val="21"/>
                <w:szCs w:val="21"/>
                <w:lang w:val="en-US" w:eastAsia="zh-CN"/>
              </w:rPr>
              <w:t>9</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sz w:val="21"/>
                <w:szCs w:val="21"/>
              </w:rPr>
              <w:t>知识产权和保密要求</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sz w:val="21"/>
                <w:szCs w:val="21"/>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对采购单位提供的人员、地址、采购情况等信息要保守秘密，不得向外界透露。中标通知书发出后，采购单位将与中标供应商签订保密协议。</w:t>
            </w:r>
          </w:p>
          <w:p>
            <w:pPr>
              <w:widowControl/>
              <w:spacing w:line="240" w:lineRule="exact"/>
              <w:jc w:val="left"/>
              <w:textAlignment w:val="center"/>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宋体" w:hAnsi="宋体" w:eastAsia="宋体" w:cs="宋体"/>
                <w:sz w:val="21"/>
                <w:szCs w:val="21"/>
                <w:lang w:val="zh-CN" w:eastAsia="zh-CN"/>
              </w:rPr>
              <w:t>基于项目合同履行形成的知识产权和其他权益，其权属归采购单位所有，法律另有规定的除外。</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val="en-US" w:eastAsia="zh-CN"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591" w:hRule="atLeast"/>
        </w:trPr>
        <w:tc>
          <w:tcPr>
            <w:tcW w:w="9559" w:type="dxa"/>
            <w:gridSpan w:val="7"/>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val="en-US" w:eastAsia="zh-CN" w:bidi="ar"/>
              </w:rPr>
            </w:pPr>
            <w:r>
              <w:rPr>
                <w:rFonts w:hint="eastAsia" w:ascii="黑体" w:hAnsi="宋体" w:eastAsia="黑体" w:cs="黑体"/>
                <w:kern w:val="0"/>
                <w:sz w:val="21"/>
                <w:szCs w:val="28"/>
                <w:lang w:val="en-US" w:eastAsia="zh-CN" w:bidi="ar"/>
              </w:rPr>
              <w:t>技术要求</w:t>
            </w:r>
          </w:p>
        </w:tc>
      </w:tr>
      <w:tr>
        <w:tblPrEx>
          <w:tblLayout w:type="fixed"/>
          <w:tblCellMar>
            <w:top w:w="57" w:type="dxa"/>
            <w:left w:w="108" w:type="dxa"/>
            <w:bottom w:w="57" w:type="dxa"/>
            <w:right w:w="108" w:type="dxa"/>
          </w:tblCellMar>
        </w:tblPrEx>
        <w:trPr>
          <w:trHeight w:val="844"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cs="宋体"/>
                <w:sz w:val="21"/>
                <w:szCs w:val="21"/>
                <w:lang w:val="en-US" w:eastAsia="zh-CN"/>
              </w:rPr>
              <w:t>1</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cs="宋体"/>
                <w:sz w:val="21"/>
                <w:szCs w:val="21"/>
                <w:lang w:val="en-US" w:eastAsia="zh-CN"/>
              </w:rPr>
              <w:t>基本要求</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cs="宋体"/>
                <w:sz w:val="21"/>
                <w:szCs w:val="21"/>
                <w:lang w:val="en-US" w:eastAsia="zh-CN"/>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宋体" w:hAnsi="宋体" w:cs="宋体"/>
                <w:sz w:val="21"/>
                <w:szCs w:val="21"/>
                <w:lang w:val="en-US" w:eastAsia="zh-CN"/>
              </w:rPr>
              <w:t>开通我单位人员使用Endnote 20、21、2025及以上版本软件使用权限。</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val="en-US" w:eastAsia="zh-CN"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宋体" w:hAnsi="宋体" w:cs="宋体"/>
                <w:sz w:val="21"/>
                <w:szCs w:val="21"/>
                <w:lang w:val="en-US" w:eastAsia="zh-CN"/>
              </w:rPr>
              <w:t>2</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宋体" w:hAnsi="宋体" w:cs="宋体"/>
                <w:sz w:val="21"/>
                <w:szCs w:val="21"/>
                <w:lang w:val="en-US" w:eastAsia="zh-CN"/>
              </w:rPr>
              <w:t>技术指标1</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宋体" w:hAnsi="宋体" w:cs="宋体"/>
                <w:sz w:val="21"/>
                <w:szCs w:val="21"/>
                <w:lang w:val="en-US" w:eastAsia="zh-CN"/>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（1） 实现参考文献管理功能，可建立个人文献数据库，导入、编辑、检索、浏览文献。对文献进行分组、去重，对重要文献进行标记、评分。</w:t>
            </w:r>
          </w:p>
          <w:p>
            <w:pPr>
              <w:widowControl/>
              <w:spacing w:line="24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（2） 支持SCI、PubMed和Embase等多种文献数据库题录的自动导入。</w:t>
            </w:r>
          </w:p>
          <w:p>
            <w:pPr>
              <w:widowControl/>
              <w:spacing w:line="24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（3） 可自动搜索互联网上的免费PDF全文并下载。</w:t>
            </w:r>
          </w:p>
          <w:p>
            <w:pPr>
              <w:widowControl/>
              <w:spacing w:line="24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（4） 支持在论文写作中自动引用参考文献，创建参考文献列表并自动调整参考文献序号。</w:t>
            </w:r>
          </w:p>
          <w:p>
            <w:pPr>
              <w:widowControl/>
              <w:spacing w:line="240" w:lineRule="exact"/>
              <w:jc w:val="left"/>
              <w:textAlignment w:val="center"/>
              <w:rPr>
                <w:rFonts w:hint="eastAsia" w:ascii="宋体" w:hAnsi="宋体" w:cs="宋体"/>
                <w:sz w:val="21"/>
                <w:szCs w:val="21"/>
                <w:lang w:val="en-US" w:eastAsia="zh-CN"/>
              </w:rPr>
            </w:pPr>
            <w:r>
              <w:rPr>
                <w:rFonts w:hint="eastAsia" w:ascii="宋体" w:hAnsi="宋体" w:cs="宋体"/>
                <w:sz w:val="21"/>
                <w:szCs w:val="21"/>
                <w:lang w:val="en-US" w:eastAsia="zh-CN"/>
              </w:rPr>
              <w:t>（5） 支持设定各种期刊相应的参考文献格式以及投稿模板，按各出版社要求进行文献引用。</w:t>
            </w:r>
          </w:p>
          <w:p>
            <w:pPr>
              <w:widowControl/>
              <w:spacing w:line="240" w:lineRule="exact"/>
              <w:jc w:val="left"/>
              <w:textAlignment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宋体" w:hAnsi="宋体" w:cs="宋体"/>
                <w:sz w:val="21"/>
                <w:szCs w:val="21"/>
                <w:lang w:val="en-US" w:eastAsia="zh-CN"/>
              </w:rPr>
              <w:t>（6）支持使用Web of Science账户登录Endnote软件， 在已经订购Web of Science的情况下可一键生成文献的引文报告，分析参考文献的影响力；可一键式访问Web of Science文献页面及相关记录。</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宋体" w:hAnsi="宋体" w:cs="宋体"/>
                <w:sz w:val="21"/>
                <w:szCs w:val="21"/>
                <w:lang w:val="en-US" w:eastAsia="zh-CN"/>
              </w:rPr>
              <w:t>3</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宋体" w:hAnsi="宋体" w:cs="宋体"/>
                <w:sz w:val="21"/>
                <w:szCs w:val="21"/>
                <w:lang w:val="en-US" w:eastAsia="zh-CN"/>
              </w:rPr>
              <w:t>技术指标2</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宋体" w:hAnsi="宋体" w:cs="宋体"/>
                <w:sz w:val="21"/>
                <w:szCs w:val="21"/>
                <w:lang w:val="en-US" w:eastAsia="zh-CN"/>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宋体" w:hAnsi="宋体" w:cs="宋体"/>
                <w:sz w:val="21"/>
                <w:szCs w:val="21"/>
                <w:lang w:val="en-US" w:eastAsia="zh-CN"/>
              </w:rPr>
              <w:t>服务期限1年，服务期内软件自动更新。</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861"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宋体" w:hAnsi="宋体" w:cs="宋体"/>
                <w:sz w:val="21"/>
                <w:szCs w:val="21"/>
                <w:lang w:val="en-US" w:eastAsia="zh-CN"/>
              </w:rPr>
              <w:t>4</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宋体" w:hAnsi="宋体" w:cs="宋体"/>
                <w:sz w:val="21"/>
                <w:szCs w:val="21"/>
                <w:lang w:val="en-US" w:eastAsia="zh-CN"/>
              </w:rPr>
              <w:t>技术指标3</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宋体" w:hAnsi="宋体" w:cs="宋体"/>
                <w:sz w:val="21"/>
                <w:szCs w:val="21"/>
                <w:lang w:val="en-US" w:eastAsia="zh-CN"/>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宋体" w:hAnsi="宋体" w:cs="宋体"/>
                <w:sz w:val="21"/>
                <w:szCs w:val="21"/>
                <w:lang w:val="en-US" w:eastAsia="zh-CN"/>
              </w:rPr>
              <w:t>无并发用户限制。</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143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color w:val="auto"/>
                <w:sz w:val="21"/>
                <w:szCs w:val="21"/>
              </w:rPr>
            </w:pPr>
            <w:r>
              <w:rPr>
                <w:rFonts w:hint="eastAsia" w:ascii="宋体" w:hAnsi="宋体" w:cs="宋体"/>
                <w:sz w:val="21"/>
                <w:szCs w:val="21"/>
                <w:lang w:val="en-US" w:eastAsia="zh-CN"/>
              </w:rPr>
              <w:t>5</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color w:val="auto"/>
                <w:kern w:val="0"/>
                <w:sz w:val="21"/>
                <w:szCs w:val="21"/>
                <w:lang w:bidi="ar"/>
              </w:rPr>
            </w:pPr>
            <w:r>
              <w:rPr>
                <w:rFonts w:hint="eastAsia" w:ascii="宋体" w:hAnsi="宋体" w:cs="宋体"/>
                <w:sz w:val="21"/>
                <w:szCs w:val="21"/>
                <w:lang w:val="en-US" w:eastAsia="zh-CN"/>
              </w:rPr>
              <w:t>技术指标4</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color w:val="auto"/>
                <w:kern w:val="0"/>
                <w:sz w:val="21"/>
                <w:szCs w:val="21"/>
                <w:lang w:bidi="ar"/>
              </w:rPr>
            </w:pPr>
            <w:r>
              <w:rPr>
                <w:rFonts w:hint="eastAsia" w:ascii="宋体" w:hAnsi="宋体" w:cs="宋体"/>
                <w:sz w:val="21"/>
                <w:szCs w:val="21"/>
                <w:lang w:val="en-US" w:eastAsia="zh-CN"/>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宋体" w:hAnsi="宋体" w:eastAsia="宋体" w:cs="宋体"/>
                <w:color w:val="auto"/>
                <w:kern w:val="0"/>
                <w:sz w:val="21"/>
                <w:szCs w:val="21"/>
                <w:lang w:bidi="ar"/>
              </w:rPr>
            </w:pPr>
            <w:r>
              <w:rPr>
                <w:rFonts w:hint="eastAsia" w:ascii="宋体" w:hAnsi="宋体" w:cs="宋体"/>
                <w:sz w:val="21"/>
                <w:szCs w:val="21"/>
                <w:lang w:val="en-US" w:eastAsia="zh-CN"/>
              </w:rPr>
              <w:t>支持安装Windows和MacOS操作系统的台式计算机、笔记本电脑等多种设备使用该软件。</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143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kern w:val="0"/>
                <w:sz w:val="20"/>
                <w:highlight w:val="none"/>
                <w:lang w:val="en-US" w:eastAsia="zh-CN" w:bidi="ar"/>
              </w:rPr>
            </w:pPr>
            <w:r>
              <w:rPr>
                <w:rFonts w:hint="eastAsia" w:ascii="宋体" w:hAnsi="宋体" w:cs="宋体"/>
                <w:sz w:val="21"/>
                <w:szCs w:val="21"/>
                <w:lang w:val="en-US" w:eastAsia="zh-CN"/>
              </w:rPr>
              <w:t>6</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cs="宋体"/>
                <w:sz w:val="21"/>
                <w:szCs w:val="21"/>
                <w:lang w:val="en-US" w:eastAsia="zh-CN"/>
              </w:rPr>
            </w:pPr>
            <w:r>
              <w:rPr>
                <w:rFonts w:hint="eastAsia" w:ascii="宋体" w:hAnsi="宋体" w:cs="宋体"/>
                <w:sz w:val="21"/>
                <w:szCs w:val="21"/>
                <w:lang w:val="en-US" w:eastAsia="zh-CN"/>
              </w:rPr>
              <w:t>验收标准</w:t>
            </w:r>
          </w:p>
          <w:p>
            <w:pPr>
              <w:widowControl/>
              <w:spacing w:line="240" w:lineRule="exact"/>
              <w:jc w:val="center"/>
              <w:textAlignment w:val="center"/>
              <w:rPr>
                <w:rFonts w:hint="eastAsia" w:ascii="黑体" w:hAnsi="宋体" w:eastAsia="黑体" w:cs="黑体"/>
                <w:i w:val="0"/>
                <w:iCs w:val="0"/>
                <w:kern w:val="0"/>
                <w:sz w:val="20"/>
                <w:highlight w:val="none"/>
                <w:lang w:bidi="ar"/>
              </w:rPr>
            </w:pPr>
            <w:r>
              <w:rPr>
                <w:rFonts w:hint="eastAsia" w:ascii="宋体" w:hAnsi="宋体" w:cs="宋体"/>
                <w:sz w:val="21"/>
                <w:szCs w:val="21"/>
                <w:lang w:val="en-US" w:eastAsia="zh-CN"/>
              </w:rPr>
              <w:t>方法</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kern w:val="0"/>
                <w:sz w:val="20"/>
                <w:highlight w:val="none"/>
                <w:lang w:bidi="ar"/>
              </w:rPr>
            </w:pPr>
            <w:r>
              <w:rPr>
                <w:rFonts w:hint="eastAsia" w:ascii="宋体" w:hAnsi="宋体" w:cs="宋体"/>
                <w:sz w:val="21"/>
                <w:szCs w:val="21"/>
                <w:lang w:val="en-US" w:eastAsia="zh-CN"/>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i w:val="0"/>
                <w:iCs w:val="0"/>
                <w:kern w:val="0"/>
                <w:sz w:val="20"/>
                <w:highlight w:val="none"/>
                <w:lang w:bidi="ar"/>
              </w:rPr>
            </w:pPr>
            <w:r>
              <w:rPr>
                <w:rFonts w:hint="eastAsia" w:ascii="宋体" w:hAnsi="宋体" w:cs="宋体"/>
                <w:sz w:val="21"/>
                <w:szCs w:val="21"/>
                <w:lang w:val="en-US" w:eastAsia="zh-CN"/>
              </w:rPr>
              <w:t>供应商提供使用权限证明授权材料和软件安装包。经需求单位测试，各项技术参数均能得到响应，软件各功能模块运行正常。</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szCs w:val="22"/>
                <w:highlight w:val="none"/>
                <w:lang w:eastAsia="zh-CN"/>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23" w:hRule="atLeast"/>
        </w:trPr>
        <w:tc>
          <w:tcPr>
            <w:tcW w:w="9559"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both"/>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b/>
                <w:bCs/>
                <w:iCs/>
                <w:kern w:val="0"/>
                <w:sz w:val="21"/>
                <w:szCs w:val="21"/>
              </w:rPr>
              <w:t>说明：</w:t>
            </w:r>
            <w:r>
              <w:rPr>
                <w:rFonts w:hint="eastAsia" w:ascii="宋体" w:hAnsi="宋体" w:eastAsia="宋体" w:cs="宋体"/>
                <w:color w:val="auto"/>
                <w:kern w:val="2"/>
                <w:sz w:val="21"/>
                <w:szCs w:val="21"/>
                <w:highlight w:val="none"/>
                <w:lang w:val="en-US" w:eastAsia="zh-CN"/>
              </w:rPr>
              <w:t>（1）★指标为必须响应指标，任意一项不满足要求即做废标处理；</w:t>
            </w:r>
          </w:p>
          <w:p>
            <w:pPr>
              <w:keepNext w:val="0"/>
              <w:keepLines w:val="0"/>
              <w:pageBreakBefore w:val="0"/>
              <w:widowControl/>
              <w:kinsoku/>
              <w:wordWrap/>
              <w:overflowPunct/>
              <w:topLinePunct w:val="0"/>
              <w:autoSpaceDE/>
              <w:autoSpaceDN/>
              <w:bidi w:val="0"/>
              <w:adjustRightInd w:val="0"/>
              <w:snapToGrid w:val="0"/>
              <w:spacing w:line="360" w:lineRule="exact"/>
              <w:jc w:val="both"/>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（2）《采购需求表》备注已明确证明材料种类的，以所注内容或国家行政管理部门、专业检测机构出具的证明材料为准。</w:t>
            </w:r>
          </w:p>
          <w:p>
            <w:pPr>
              <w:keepNext w:val="0"/>
              <w:keepLines w:val="0"/>
              <w:pageBreakBefore w:val="0"/>
              <w:widowControl/>
              <w:kinsoku/>
              <w:wordWrap/>
              <w:overflowPunct/>
              <w:topLinePunct w:val="0"/>
              <w:autoSpaceDE/>
              <w:autoSpaceDN/>
              <w:bidi w:val="0"/>
              <w:adjustRightInd w:val="0"/>
              <w:snapToGrid w:val="0"/>
              <w:spacing w:line="360" w:lineRule="exact"/>
              <w:jc w:val="both"/>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3）★标识指标及▲标识指标须提供技术支持材料，支持材料包括但不限于以下任意一种或几种：产品规格表、产品宣传彩页、技术白皮书、制造商官方网站发布的产品信息、说明书、检测机构出具的检测报告或生产厂家出具的证明文件等；对参数配置数量、定制产品或待开发软件等功能指标要求以供应商响应承诺为准；</w:t>
            </w:r>
          </w:p>
          <w:p>
            <w:pPr>
              <w:keepNext w:val="0"/>
              <w:keepLines w:val="0"/>
              <w:pageBreakBefore w:val="0"/>
              <w:widowControl/>
              <w:kinsoku/>
              <w:wordWrap/>
              <w:overflowPunct/>
              <w:topLinePunct w:val="0"/>
              <w:autoSpaceDE/>
              <w:autoSpaceDN/>
              <w:bidi w:val="0"/>
              <w:adjustRightInd w:val="0"/>
              <w:snapToGrid w:val="0"/>
              <w:spacing w:line="360" w:lineRule="exact"/>
              <w:jc w:val="both"/>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（4）无标识指标正偏离需参照上述要求提供技术支持材料，未提供的正偏离不予认可。</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iCs/>
                <w:kern w:val="0"/>
                <w:sz w:val="21"/>
                <w:szCs w:val="21"/>
              </w:rPr>
            </w:pPr>
            <w:r>
              <w:rPr>
                <w:rFonts w:hint="eastAsia" w:ascii="宋体" w:hAnsi="宋体" w:eastAsia="宋体" w:cs="宋体"/>
                <w:color w:val="auto"/>
                <w:kern w:val="2"/>
                <w:sz w:val="21"/>
                <w:szCs w:val="21"/>
                <w:highlight w:val="none"/>
                <w:lang w:val="en-US" w:eastAsia="zh-CN" w:bidi="ar-SA"/>
              </w:rPr>
              <w:t>（5）加注“★”、“▲”号的技术指标均需投标企业提供证明材料（证明材料为“企业承诺”的，在技术商务指标参数响应偏离表中体现即可）</w:t>
            </w:r>
          </w:p>
        </w:tc>
      </w:tr>
    </w:tbl>
    <w:p>
      <w:pPr>
        <w:sectPr>
          <w:pgSz w:w="11906" w:h="16838"/>
          <w:pgMar w:top="1440" w:right="1800" w:bottom="1440" w:left="1800" w:header="851" w:footer="992" w:gutter="0"/>
          <w:cols w:space="425" w:num="1"/>
          <w:docGrid w:type="lines" w:linePitch="312" w:charSpace="0"/>
        </w:sectPr>
      </w:pPr>
    </w:p>
    <w:p>
      <w:pPr>
        <w:outlineLvl w:val="9"/>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8803C3"/>
    <w:rsid w:val="000408E1"/>
    <w:rsid w:val="05B95F9A"/>
    <w:rsid w:val="1CCE5EDC"/>
    <w:rsid w:val="3ECA2977"/>
    <w:rsid w:val="438803C3"/>
    <w:rsid w:val="51062921"/>
    <w:rsid w:val="67ED176A"/>
    <w:rsid w:val="708F7A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4">
    <w:name w:val="annotation text"/>
    <w:basedOn w:val="1"/>
    <w:qFormat/>
    <w:uiPriority w:val="0"/>
    <w:pPr>
      <w:jc w:val="left"/>
    </w:pPr>
  </w:style>
  <w:style w:type="paragraph" w:styleId="5">
    <w:name w:val="Body Text Indent"/>
    <w:basedOn w:val="1"/>
    <w:uiPriority w:val="0"/>
    <w:pPr>
      <w:spacing w:line="400" w:lineRule="exact"/>
      <w:ind w:firstLine="600" w:firstLineChars="200"/>
    </w:pPr>
    <w:rPr>
      <w:rFonts w:ascii="仿宋_GB2312" w:eastAsia="仿宋_GB2312"/>
      <w:sz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2025-04-29T09:07:00Z</dcterms:created>
  <dc:creator>administrator</dc:creator>
  <cp:lastModifiedBy>administrator</cp:lastModifiedBy>
  <dcterms:modified xsi:type="dcterms:W3CDTF">2025-10-09T10:45:52Z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