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971" w:type="dxa"/>
        <w:jc w:val="center"/>
        <w:tblLayout w:type="fixed"/>
        <w:tblCellMar>
          <w:top w:w="0" w:type="dxa"/>
          <w:left w:w="108" w:type="dxa"/>
          <w:bottom w:w="0" w:type="dxa"/>
          <w:right w:w="108" w:type="dxa"/>
        </w:tblCellMar>
      </w:tblPr>
      <w:tblGrid>
        <w:gridCol w:w="728"/>
        <w:gridCol w:w="1450"/>
        <w:gridCol w:w="667"/>
        <w:gridCol w:w="4258"/>
        <w:gridCol w:w="635"/>
        <w:gridCol w:w="1233"/>
      </w:tblGrid>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序号</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性质</w:t>
            </w:r>
          </w:p>
        </w:tc>
        <w:tc>
          <w:tcPr>
            <w:tcW w:w="425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635"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kern w:val="0"/>
                <w:sz w:val="20"/>
              </w:rPr>
              <w:t>基本要求</w:t>
            </w:r>
          </w:p>
        </w:tc>
        <w:tc>
          <w:tcPr>
            <w:tcW w:w="6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2"/>
                <w:sz w:val="20"/>
                <w:szCs w:val="24"/>
                <w:lang w:val="en-US" w:eastAsia="zh-CN" w:bidi="ar-SA"/>
              </w:rPr>
            </w:pPr>
            <w:r>
              <w:rPr>
                <w:rFonts w:hint="eastAsia" w:ascii="黑体" w:hAnsi="宋体" w:eastAsia="黑体" w:cs="黑体"/>
                <w:kern w:val="0"/>
                <w:sz w:val="20"/>
              </w:rPr>
              <w:t>★</w:t>
            </w:r>
          </w:p>
        </w:tc>
        <w:tc>
          <w:tcPr>
            <w:tcW w:w="425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iCs/>
                <w:kern w:val="2"/>
                <w:sz w:val="20"/>
                <w:szCs w:val="20"/>
                <w:lang w:val="en-US" w:eastAsia="zh-CN" w:bidi="ar-SA"/>
              </w:rPr>
            </w:pPr>
            <w:r>
              <w:rPr>
                <w:rFonts w:hint="eastAsia" w:ascii="黑体" w:hAnsi="黑体" w:eastAsia="黑体" w:cs="黑体"/>
                <w:i w:val="0"/>
                <w:iCs w:val="0"/>
                <w:sz w:val="20"/>
                <w:szCs w:val="20"/>
                <w:lang w:eastAsia="zh-CN"/>
              </w:rPr>
              <w:t>用于治疗儿童混合牙列期错合畸形和不良口腔习惯导致的口周肌功能异常的矫正与咬合诱导，并在儿童牙齿还没发育成熟的时候对牙齿的排列进行调整。</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2"/>
                <w:sz w:val="20"/>
                <w:szCs w:val="20"/>
                <w:lang w:val="en-US" w:eastAsia="zh-CN" w:bidi="ar-SA"/>
              </w:rPr>
            </w:pPr>
            <w:r>
              <w:rPr>
                <w:rFonts w:hint="eastAsia" w:ascii="黑体" w:hAnsi="宋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2"/>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注册证（备案证）或其他相关证明</w:t>
            </w:r>
          </w:p>
        </w:tc>
      </w:tr>
      <w:tr>
        <w:tblPrEx>
          <w:tblCellMar>
            <w:top w:w="0" w:type="dxa"/>
            <w:left w:w="108" w:type="dxa"/>
            <w:bottom w:w="0" w:type="dxa"/>
            <w:right w:w="108" w:type="dxa"/>
          </w:tblCellMar>
        </w:tblPrEx>
        <w:trPr>
          <w:trHeight w:val="639"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i w:val="0"/>
                <w:iCs w:val="0"/>
                <w:color w:val="000000"/>
                <w:kern w:val="0"/>
                <w:sz w:val="20"/>
                <w:szCs w:val="20"/>
                <w:u w:val="none"/>
                <w:lang w:val="en-US" w:eastAsia="zh-CN" w:bidi="ar"/>
              </w:rPr>
              <w:t>注册证要求</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2"/>
                <w:sz w:val="20"/>
                <w:szCs w:val="24"/>
                <w:lang w:val="en-US" w:eastAsia="zh-CN" w:bidi="ar-SA"/>
              </w:rPr>
            </w:pPr>
            <w:r>
              <w:rPr>
                <w:rFonts w:hint="eastAsia" w:ascii="黑体" w:hAnsi="黑体" w:eastAsia="黑体" w:cs="黑体"/>
                <w:kern w:val="0"/>
                <w:sz w:val="20"/>
              </w:rPr>
              <w:t>★</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default"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具备CFDA认证</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2"/>
                <w:sz w:val="20"/>
                <w:szCs w:val="20"/>
                <w:lang w:val="en-US" w:eastAsia="zh-CN" w:bidi="ar-SA"/>
              </w:rPr>
            </w:pPr>
            <w:r>
              <w:rPr>
                <w:rFonts w:hint="eastAsia" w:ascii="黑体" w:hAnsi="黑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2"/>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注册证（备案证）</w:t>
            </w:r>
          </w:p>
        </w:tc>
      </w:tr>
      <w:tr>
        <w:tblPrEx>
          <w:tblCellMar>
            <w:top w:w="0" w:type="dxa"/>
            <w:left w:w="108" w:type="dxa"/>
            <w:bottom w:w="0" w:type="dxa"/>
            <w:right w:w="108" w:type="dxa"/>
          </w:tblCellMar>
        </w:tblPrEx>
        <w:trPr>
          <w:trHeight w:val="391"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lang w:val="en-US" w:eastAsia="zh-CN"/>
              </w:rPr>
              <w:t>3</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i w:val="0"/>
                <w:iCs w:val="0"/>
                <w:color w:val="000000"/>
                <w:kern w:val="0"/>
                <w:sz w:val="20"/>
                <w:szCs w:val="20"/>
                <w:u w:val="none"/>
                <w:lang w:val="en-US" w:eastAsia="zh-CN" w:bidi="ar"/>
              </w:rPr>
              <w:t>其他认证要求</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left"/>
              <w:rPr>
                <w:rFonts w:hint="default" w:ascii="Times New Roman" w:hAnsi="Times New Roman" w:eastAsia="宋体" w:cs="Times New Roman"/>
                <w:kern w:val="2"/>
                <w:sz w:val="21"/>
                <w:szCs w:val="24"/>
                <w:lang w:val="en-US" w:eastAsia="zh-CN" w:bidi="ar-SA"/>
              </w:rPr>
            </w:pPr>
            <w:r>
              <w:rPr>
                <w:rFonts w:hint="eastAsia" w:ascii="黑体" w:hAnsi="黑体" w:eastAsia="黑体" w:cs="黑体"/>
                <w:i w:val="0"/>
                <w:iCs w:val="0"/>
                <w:color w:val="000000"/>
                <w:kern w:val="0"/>
                <w:sz w:val="20"/>
                <w:szCs w:val="20"/>
                <w:u w:val="none"/>
                <w:lang w:val="en-US" w:eastAsia="zh-CN" w:bidi="ar"/>
              </w:rPr>
              <w:t>具备CE认证</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bidi="ar-SA"/>
              </w:rPr>
            </w:pPr>
            <w:r>
              <w:rPr>
                <w:rFonts w:hint="eastAsia" w:ascii="黑体" w:hAnsi="黑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2"/>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相关证明</w:t>
            </w:r>
          </w:p>
        </w:tc>
      </w:tr>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kern w:val="0"/>
                <w:sz w:val="20"/>
                <w:szCs w:val="24"/>
                <w:lang w:val="en-US" w:eastAsia="zh-CN" w:bidi="ar-SA"/>
              </w:rPr>
              <w:t>环境适应性</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在37℃温水中24小时，取出后肌功能矫治器的尺寸保持原来一样。</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bidi="ar-SA"/>
              </w:rPr>
            </w:pPr>
            <w:r>
              <w:rPr>
                <w:rFonts w:hint="eastAsia" w:ascii="黑体" w:hAnsi="黑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相关证明</w:t>
            </w:r>
          </w:p>
        </w:tc>
      </w:tr>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5</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kern w:val="0"/>
                <w:sz w:val="20"/>
                <w:lang w:val="en-US" w:eastAsia="zh-CN"/>
              </w:rPr>
              <w:t>重金属</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重金属总含量应不超过1μg/mL。</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bidi="ar-SA"/>
              </w:rPr>
            </w:pPr>
            <w:r>
              <w:rPr>
                <w:rFonts w:hint="eastAsia" w:ascii="黑体" w:hAnsi="黑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相关证明</w:t>
            </w:r>
          </w:p>
        </w:tc>
      </w:tr>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i w:val="0"/>
                <w:iCs w:val="0"/>
                <w:color w:val="000000"/>
                <w:kern w:val="0"/>
                <w:sz w:val="20"/>
                <w:szCs w:val="20"/>
                <w:u w:val="none"/>
                <w:lang w:val="en-US" w:eastAsia="zh-CN" w:bidi="ar"/>
              </w:rPr>
              <w:t>安全性</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硅胶材料采用医用硅胶，安全性优于食品级，抗撕裂、耐高温，生物相容性好</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bidi="ar-SA"/>
              </w:rPr>
            </w:pPr>
            <w:r>
              <w:rPr>
                <w:rFonts w:hint="eastAsia" w:ascii="黑体" w:hAnsi="黑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2"/>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相关证明</w:t>
            </w:r>
          </w:p>
        </w:tc>
      </w:tr>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i w:val="0"/>
                <w:iCs w:val="0"/>
                <w:color w:val="000000"/>
                <w:kern w:val="0"/>
                <w:sz w:val="20"/>
                <w:szCs w:val="20"/>
                <w:u w:val="none"/>
                <w:lang w:val="en-US" w:eastAsia="zh-CN" w:bidi="ar"/>
              </w:rPr>
              <w:t>色稳定性</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肌功能矫治器</w:t>
            </w:r>
            <w:r>
              <w:rPr>
                <w:rFonts w:hint="eastAsia" w:hAnsi="黑体" w:cs="黑体"/>
                <w:i w:val="0"/>
                <w:iCs w:val="0"/>
                <w:color w:val="000000"/>
                <w:kern w:val="0"/>
                <w:sz w:val="20"/>
                <w:szCs w:val="20"/>
                <w:u w:val="none"/>
                <w:lang w:val="en-US" w:eastAsia="zh-CN" w:bidi="ar"/>
              </w:rPr>
              <w:t>应具有良好的色稳定性，只允许有轻微变化。</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bidi="ar-SA"/>
              </w:rPr>
            </w:pPr>
            <w:r>
              <w:rPr>
                <w:rFonts w:hint="eastAsia" w:ascii="黑体" w:hAnsi="黑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2"/>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相关证明</w:t>
            </w:r>
          </w:p>
        </w:tc>
      </w:tr>
      <w:tr>
        <w:tblPrEx>
          <w:tblCellMar>
            <w:top w:w="0" w:type="dxa"/>
            <w:left w:w="108" w:type="dxa"/>
            <w:bottom w:w="0" w:type="dxa"/>
            <w:right w:w="108" w:type="dxa"/>
          </w:tblCellMar>
        </w:tblPrEx>
        <w:trPr>
          <w:trHeight w:val="778"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8</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szCs w:val="24"/>
                <w:lang w:val="en-US" w:eastAsia="zh-CN" w:bidi="ar-SA"/>
              </w:rPr>
            </w:pPr>
            <w:r>
              <w:rPr>
                <w:rFonts w:hint="eastAsia" w:ascii="黑体" w:hAnsi="黑体" w:eastAsia="黑体" w:cs="黑体"/>
                <w:kern w:val="0"/>
                <w:sz w:val="20"/>
                <w:szCs w:val="24"/>
                <w:lang w:val="en-US" w:eastAsia="zh-CN" w:bidi="ar-SA"/>
              </w:rPr>
              <w:t>技术指标1</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672"/>
              </w:tabs>
              <w:spacing w:line="240" w:lineRule="exact"/>
              <w:jc w:val="both"/>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弹性变量：处理前与处理后产品的尺寸偏差不得大于10%。</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bidi="ar-SA"/>
              </w:rPr>
            </w:pPr>
            <w:r>
              <w:rPr>
                <w:rFonts w:hint="eastAsia" w:ascii="黑体" w:hAnsi="黑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2"/>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相关证明</w:t>
            </w:r>
          </w:p>
        </w:tc>
      </w:tr>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9</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kern w:val="0"/>
                <w:sz w:val="20"/>
                <w:szCs w:val="24"/>
                <w:lang w:val="en-US" w:eastAsia="zh-CN" w:bidi="ar-SA"/>
              </w:rPr>
              <w:t>技术指标2</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szCs w:val="24"/>
                <w:lang w:val="en-US" w:eastAsia="zh-CN" w:bidi="ar-SA"/>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溶解值：肌功能矫治器的溶解值应≤7.5μg/㎜</w:t>
            </w:r>
            <w:r>
              <w:rPr>
                <w:rFonts w:hint="eastAsia" w:ascii="黑体" w:hAnsi="黑体" w:eastAsia="黑体" w:cs="黑体"/>
                <w:i w:val="0"/>
                <w:iCs w:val="0"/>
                <w:color w:val="000000"/>
                <w:kern w:val="0"/>
                <w:sz w:val="20"/>
                <w:szCs w:val="20"/>
                <w:u w:val="none"/>
                <w:vertAlign w:val="superscript"/>
                <w:lang w:val="en-US" w:eastAsia="zh-CN" w:bidi="ar"/>
              </w:rPr>
              <w:t>3</w:t>
            </w:r>
            <w:r>
              <w:rPr>
                <w:rFonts w:hint="eastAsia" w:ascii="黑体" w:hAnsi="黑体" w:eastAsia="黑体" w:cs="黑体"/>
                <w:i w:val="0"/>
                <w:iCs w:val="0"/>
                <w:color w:val="000000"/>
                <w:kern w:val="0"/>
                <w:sz w:val="20"/>
                <w:szCs w:val="20"/>
                <w:u w:val="none"/>
                <w:vertAlign w:val="baseli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bidi="ar-SA"/>
              </w:rPr>
            </w:pPr>
            <w:r>
              <w:rPr>
                <w:rFonts w:hint="eastAsia" w:ascii="黑体" w:hAnsi="黑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2"/>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相关证明</w:t>
            </w:r>
          </w:p>
        </w:tc>
      </w:tr>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10</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szCs w:val="24"/>
                <w:lang w:val="en-US" w:eastAsia="zh-CN" w:bidi="ar-SA"/>
              </w:rPr>
              <w:t>技术指标3</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吸水值：肌功能矫治器单位体积质量的增加（吸水量）应≤32μg/㎜</w:t>
            </w:r>
            <w:r>
              <w:rPr>
                <w:rFonts w:hint="eastAsia" w:ascii="黑体" w:hAnsi="黑体" w:eastAsia="黑体" w:cs="黑体"/>
                <w:i w:val="0"/>
                <w:iCs w:val="0"/>
                <w:color w:val="000000"/>
                <w:kern w:val="0"/>
                <w:sz w:val="20"/>
                <w:szCs w:val="20"/>
                <w:u w:val="none"/>
                <w:vertAlign w:val="superscript"/>
                <w:lang w:val="en-US" w:eastAsia="zh-CN" w:bidi="ar"/>
              </w:rPr>
              <w:t>3</w:t>
            </w:r>
            <w:r>
              <w:rPr>
                <w:rFonts w:hint="eastAsia" w:ascii="黑体" w:hAnsi="黑体" w:eastAsia="黑体" w:cs="黑体"/>
                <w:i w:val="0"/>
                <w:iCs w:val="0"/>
                <w:color w:val="000000"/>
                <w:kern w:val="0"/>
                <w:sz w:val="20"/>
                <w:szCs w:val="20"/>
                <w:u w:val="none"/>
                <w:vertAlign w:val="baseli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相关证明</w:t>
            </w:r>
          </w:p>
        </w:tc>
      </w:tr>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11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kern w:val="0"/>
                <w:sz w:val="20"/>
                <w:szCs w:val="24"/>
                <w:lang w:val="en-US" w:eastAsia="zh-CN" w:bidi="ar-SA"/>
              </w:rPr>
              <w:t>技术指标4</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酸碱度：肌功能矫治器的浸出液与同批空白对照液作对照，PH值之差不得超出1.5。</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宋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相关证明</w:t>
            </w:r>
          </w:p>
        </w:tc>
      </w:tr>
      <w:tr>
        <w:tblPrEx>
          <w:tblCellMar>
            <w:top w:w="0" w:type="dxa"/>
            <w:left w:w="108" w:type="dxa"/>
            <w:bottom w:w="0" w:type="dxa"/>
            <w:right w:w="108" w:type="dxa"/>
          </w:tblCellMar>
        </w:tblPrEx>
        <w:trPr>
          <w:trHeight w:val="500"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12</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4"/>
                <w:lang w:val="en-US" w:eastAsia="zh-CN" w:bidi="ar-SA"/>
              </w:rPr>
            </w:pPr>
            <w:r>
              <w:rPr>
                <w:rFonts w:hint="eastAsia" w:ascii="黑体" w:hAnsi="黑体" w:eastAsia="黑体" w:cs="黑体"/>
                <w:kern w:val="0"/>
                <w:sz w:val="20"/>
                <w:szCs w:val="24"/>
                <w:lang w:val="en-US" w:eastAsia="zh-CN" w:bidi="ar-SA"/>
              </w:rPr>
              <w:t>技术指标5</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密度：肌功能矫治器的密度应不大于2.5g/cm</w:t>
            </w:r>
            <w:r>
              <w:rPr>
                <w:rFonts w:hint="eastAsia" w:ascii="黑体" w:hAnsi="黑体" w:eastAsia="黑体" w:cs="黑体"/>
                <w:i w:val="0"/>
                <w:iCs w:val="0"/>
                <w:color w:val="000000"/>
                <w:kern w:val="0"/>
                <w:sz w:val="20"/>
                <w:szCs w:val="20"/>
                <w:u w:val="none"/>
                <w:vertAlign w:val="superscript"/>
                <w:lang w:val="en-US" w:eastAsia="zh-CN" w:bidi="ar"/>
              </w:rPr>
              <w:t>3</w:t>
            </w:r>
            <w:r>
              <w:rPr>
                <w:rFonts w:hint="eastAsia" w:ascii="黑体" w:hAnsi="黑体" w:eastAsia="黑体" w:cs="黑体"/>
                <w:i w:val="0"/>
                <w:iCs w:val="0"/>
                <w:color w:val="000000"/>
                <w:kern w:val="0"/>
                <w:sz w:val="20"/>
                <w:szCs w:val="20"/>
                <w:u w:val="no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宋体" w:eastAsia="黑体" w:cs="黑体"/>
                <w:i w:val="0"/>
                <w:iCs w:val="0"/>
                <w:kern w:val="0"/>
                <w:sz w:val="20"/>
                <w:szCs w:val="20"/>
              </w:rPr>
              <w:t>否</w:t>
            </w:r>
          </w:p>
        </w:tc>
        <w:tc>
          <w:tcPr>
            <w:tcW w:w="12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注册证（备案证）或其他相关证明</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00000000"/>
    <w:rsid w:val="55EA3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customStyle="1" w:styleId="5">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2025-10-13T00:00:21Z</dcterms:created>
  <dc:creator>admin</dc:creator>
  <cp:lastModifiedBy>admin</cp:lastModifiedBy>
  <dcterms:modified xsi:type="dcterms:W3CDTF">2025-10-13T00:00:28Z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CF5439E30A224B1C963E6C089813B162</vt:lpwstr>
  </property>
</Properties>
</file>