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21632"/>
      <w:bookmarkStart w:id="1" w:name="_Toc28545"/>
      <w:bookmarkStart w:id="2" w:name="_Toc32050"/>
      <w:bookmarkStart w:id="3" w:name="_Toc130888005"/>
      <w:bookmarkStart w:id="4" w:name="_Toc112317781"/>
      <w:bookmarkStart w:id="5" w:name="_Toc24884"/>
      <w:bookmarkStart w:id="6" w:name="_Toc30564"/>
      <w:bookmarkStart w:id="7" w:name="_Toc21513"/>
      <w:bookmarkStart w:id="8" w:name="_Toc128470293"/>
      <w:bookmarkStart w:id="9" w:name="_Toc132186973"/>
      <w:bookmarkStart w:id="10" w:name="_Toc130661176"/>
      <w:bookmarkStart w:id="11" w:name="_Toc128154366"/>
      <w:bookmarkStart w:id="12" w:name="_Toc112768491"/>
      <w:bookmarkStart w:id="13" w:name="_Toc32667"/>
      <w:bookmarkStart w:id="14" w:name="_Toc132191257"/>
      <w:bookmarkStart w:id="15" w:name="_Toc9692"/>
      <w:bookmarkStart w:id="16" w:name="_Toc20816"/>
      <w:bookmarkStart w:id="17" w:name="_Toc128154368"/>
      <w:bookmarkStart w:id="18" w:name="_Toc128470295"/>
      <w:bookmarkStart w:id="19" w:name="_Toc130888007"/>
      <w:bookmarkStart w:id="20" w:name="_Toc132186975"/>
      <w:bookmarkStart w:id="21" w:name="_Toc3045"/>
      <w:bookmarkStart w:id="22" w:name="_Toc30083"/>
      <w:bookmarkStart w:id="23" w:name="_Toc132191259"/>
      <w:r>
        <w:rPr>
          <w:rFonts w:hint="eastAsia"/>
          <w:b w:val="0"/>
          <w:color w:val="auto"/>
          <w:szCs w:val="44"/>
          <w:highlight w:val="none"/>
          <w:lang w:val="zh-CN"/>
        </w:rPr>
        <w:t>第六章</w:t>
      </w:r>
      <w:r>
        <w:rPr>
          <w:b w:val="0"/>
          <w:color w:val="auto"/>
          <w:szCs w:val="44"/>
          <w:highlight w:val="none"/>
          <w:lang w:val="zh-CN"/>
        </w:rPr>
        <w:t xml:space="preserve"> </w:t>
      </w:r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</w:pPr>
      <w:bookmarkStart w:id="24" w:name="_Toc112768493"/>
      <w:bookmarkStart w:id="25" w:name="_Toc21712"/>
      <w:bookmarkStart w:id="26" w:name="_Toc25325"/>
      <w:bookmarkStart w:id="27" w:name="_Toc130888006"/>
      <w:bookmarkStart w:id="28" w:name="_Toc32238"/>
      <w:bookmarkStart w:id="29" w:name="_Toc22203"/>
      <w:bookmarkStart w:id="30" w:name="_Toc112681847"/>
      <w:bookmarkStart w:id="31" w:name="_Toc22977"/>
      <w:bookmarkStart w:id="32" w:name="_Toc128470294"/>
      <w:bookmarkStart w:id="33" w:name="_Toc132191258"/>
      <w:bookmarkStart w:id="34" w:name="_Toc128154367"/>
      <w:bookmarkStart w:id="35" w:name="_Toc285612596"/>
      <w:bookmarkStart w:id="36" w:name="_Toc132186974"/>
      <w:bookmarkStart w:id="37" w:name="_Toc13168"/>
      <w:bookmarkStart w:id="38" w:name="_Toc13753"/>
      <w:bookmarkStart w:id="39" w:name="_Toc17189"/>
      <w:bookmarkStart w:id="40" w:name="_Toc14060"/>
      <w:bookmarkStart w:id="41" w:name="_Toc27651"/>
      <w:bookmarkStart w:id="42" w:name="_Toc20366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商务要求</w:t>
      </w:r>
      <w:r>
        <w:rPr>
          <w:rFonts w:hint="eastAsia" w:ascii="黑体" w:hAnsi="黑体" w:cs="黑体"/>
          <w:b w:val="0"/>
          <w:color w:val="auto"/>
          <w:sz w:val="28"/>
          <w:szCs w:val="28"/>
          <w:lang w:eastAsia="zh-CN"/>
        </w:rPr>
        <w:t>（均为实质性响应条款，不接受负偏离，且须在投标文件的商务技术册中</w:t>
      </w:r>
      <w:r>
        <w:rPr>
          <w:rFonts w:hint="eastAsia" w:ascii="黑体" w:hAnsi="黑体" w:cs="黑体"/>
          <w:b/>
          <w:bCs w:val="0"/>
          <w:color w:val="auto"/>
          <w:sz w:val="28"/>
          <w:szCs w:val="28"/>
          <w:u w:val="single"/>
          <w:lang w:eastAsia="zh-CN"/>
        </w:rPr>
        <w:t>单独附页承诺</w:t>
      </w:r>
      <w:r>
        <w:rPr>
          <w:rFonts w:hint="eastAsia" w:ascii="黑体" w:hAnsi="黑体" w:cs="黑体"/>
          <w:b w:val="0"/>
          <w:color w:val="auto"/>
          <w:sz w:val="28"/>
          <w:szCs w:val="28"/>
          <w:lang w:eastAsia="zh-CN"/>
        </w:rPr>
        <w:t>）</w:t>
      </w:r>
    </w:p>
    <w:p>
      <w:pPr>
        <w:pStyle w:val="8"/>
        <w:spacing w:line="560" w:lineRule="exact"/>
        <w:ind w:firstLine="560"/>
        <w:jc w:val="center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en-US" w:eastAsia="zh-CN"/>
        </w:rPr>
        <w:t>经济要求</w:t>
      </w:r>
    </w:p>
    <w:tbl>
      <w:tblPr>
        <w:tblStyle w:val="6"/>
        <w:tblW w:w="938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1450"/>
        <w:gridCol w:w="717"/>
        <w:gridCol w:w="5300"/>
        <w:gridCol w:w="134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备注（证明材料等其他要求）</w:t>
            </w:r>
          </w:p>
        </w:tc>
      </w:t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5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  <w:rPr>
          <w:rFonts w:hint="eastAsia"/>
          <w:color w:val="auto"/>
          <w:lang w:val="en-US" w:eastAsia="zh-CN"/>
        </w:rPr>
      </w:pPr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  <w:bookmarkEnd w:id="19"/>
      <w:bookmarkEnd w:id="20"/>
      <w:bookmarkEnd w:id="21"/>
      <w:bookmarkEnd w:id="22"/>
      <w:bookmarkEnd w:id="23"/>
      <w:bookmarkEnd w:id="41"/>
      <w:bookmarkEnd w:id="42"/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0"/>
        <w:gridCol w:w="826"/>
        <w:gridCol w:w="796"/>
        <w:gridCol w:w="734"/>
        <w:gridCol w:w="1520"/>
        <w:gridCol w:w="1989"/>
        <w:gridCol w:w="1184"/>
        <w:gridCol w:w="640"/>
        <w:gridCol w:w="11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7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2025-JQ06-W3303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便携式彩色超声诊断系统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主要用于成人心脏、经食道心脏、小儿心脏、血管等方面的临床诊断和科研教学工作，能满足开展新的临床应用需求。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具备CFDA，FDA或CE认证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主要规格及系统概述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成像模式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80808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二维灰阶成像单元；彩色多普勒血流成像；频谱多普勒成像；彩色能量多普勒成像：组织谐波成像；造影成像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80808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频谱多普勒方式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脉冲波多普勒 PWD、HPRF、连续波多普勒 CWD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一键图像优化技术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能优化B模式、彩色模式、频谱模式、造影模式的图像，单键自动调整彩色取样框角度、位置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支持组织多普勒成像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支持组织多普勒成像（TDI）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图像放大功能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具备图像放大功能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穿刺增强技术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实现在临床穿刺过程中，增强针尖的显示，减少穿刺针后方声影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穿刺引导功能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支持相控阵、凸阵、微凸阵、线阵探头穿刺引导功能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LVO造影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心肌运动定量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自动计算左心室短轴FAC、左心室短轴应变及达峰时间等，短轴应变及达峰时间以18节段牛眼图显示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应变定量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同时可显示≥32条节段曲线，可显示组织速度、位移、应变、应变率等多种参数曲线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血管内中膜自动测量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要求对感兴趣区域内自动测量，无需手动描计，计算结果为一段距离内的平均值，提高测量的可靠性和可重复性，并可根据血管内中膜厚度不同进行优化设置，脱机数据可输出。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测量和分析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一般测量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一般测量，距离(直线/曲线)、面积、周长(连续描记/点描记) 、角度、体积等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多普勒血流自动测量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自动、实时Doppler 频谱波形分析（High Q自动Doppler 分析），实时和冻结状态下都可以进行分析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高帧频实时解剖M型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高帧频实时解剖M型，360度范围内可调可移动，对传统M型扫描进行角度矫正，提高测量准确性和效率，可用于二维，彩色血流及多普勒模式。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主机系统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≥15英寸高分辨率彩色超薄液晶监视器，亮度可调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TGC分段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≥8段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5.3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LGC分段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≥2段  （实体键）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5.4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探头接口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≥3个（可通过台车扩展，不含挂置位）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5.5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主机支持单晶探头支持数量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≥3 把，包括心脏、经食道等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5.6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取样容积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宽度 0.8-28mm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5.7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多普勒最小测量速度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≤1mm/s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5.8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动态图像存储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时间≥400秒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5.9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电影回放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电影回放：时间≥180秒，同屏电影回放≥9画面，可调回放速度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5.10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图像显示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同屏图像显示25画面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5.11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输出信号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标准视频接口、USB接口,装机后即可正常使用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5.12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整机重量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≤7KG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5.13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多媒体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内置DVD/CD刻录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5.14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存储能力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≥500GB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5.15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频谱多普勒测速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最大测量速度：PW，血流速度最大±6.0m/s；CW，血流速度最大±40m/s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5.16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智能多普勒技术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自动调节声束角度，自动确定60°角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5.17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二维最大成像深度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≥30cm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5.19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相控阵成像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相控阵，85度，17cm深度，帧频&gt;=15帧/秒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组织多普勒帧频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75度，11cm深度，帧频&gt;＝100帧/秒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5.21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探头规格及要求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5.22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血管探头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频率范围：3.0- 12.0 MHz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5.23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单晶体心脏探头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频率范围：1.0- 5.0 MHz 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5.24 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单晶体腹部探头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频率范围：1.0- 5.0 MHz 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技术白皮书或技术规格资料或彩页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6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超声主机一台，血管探头、单晶体心脏探头、单晶体腹部探头各一支</w:t>
            </w:r>
          </w:p>
        </w:tc>
        <w:tc>
          <w:tcPr>
            <w:tcW w:w="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9"/>
        <w:rPr>
          <w:rFonts w:hint="eastAsia"/>
          <w:color w:val="auto"/>
        </w:rPr>
      </w:pPr>
    </w:p>
    <w:p>
      <w:pPr>
        <w:pStyle w:val="9"/>
        <w:rPr>
          <w:rFonts w:hint="eastAsia"/>
          <w:color w:val="auto"/>
        </w:rPr>
      </w:pPr>
      <w:r>
        <w:rPr>
          <w:rFonts w:hint="eastAsia"/>
          <w:color w:val="auto"/>
        </w:rPr>
        <w:t>说明 ：</w:t>
      </w:r>
    </w:p>
    <w:p>
      <w:pPr>
        <w:pStyle w:val="9"/>
        <w:rPr>
          <w:rFonts w:hint="eastAsia"/>
          <w:color w:val="auto"/>
        </w:rPr>
      </w:pPr>
      <w:r>
        <w:rPr>
          <w:rFonts w:hint="eastAsia"/>
          <w:color w:val="auto"/>
        </w:rPr>
        <w:t>（1）★指标为必须响应指标，任意一项不满足要求即做废标处理；</w:t>
      </w:r>
    </w:p>
    <w:p>
      <w:pPr>
        <w:pStyle w:val="9"/>
        <w:rPr>
          <w:rFonts w:hint="eastAsia"/>
          <w:color w:val="auto"/>
        </w:rPr>
      </w:pPr>
      <w:r>
        <w:rPr>
          <w:rFonts w:hint="eastAsia"/>
          <w:color w:val="auto"/>
        </w:rPr>
        <w:t>（2）《采购需求表》备注已明确证明材料种类的，以所注内容或国家行政管理部门、专业检测机构出具的证明材料为准。</w:t>
      </w:r>
    </w:p>
    <w:p>
      <w:pPr>
        <w:pStyle w:val="9"/>
        <w:rPr>
          <w:rFonts w:hint="eastAsia"/>
          <w:color w:val="auto"/>
        </w:rPr>
      </w:pPr>
      <w:r>
        <w:rPr>
          <w:rFonts w:hint="eastAsia"/>
          <w:color w:val="auto"/>
        </w:rPr>
        <w:t>（3）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pStyle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</w:rPr>
        <w:t>（4）无标识指标正偏离需参照上述要求提供技术支持材料，未提供的正偏离不予认可</w:t>
      </w:r>
      <w:r>
        <w:rPr>
          <w:rFonts w:hint="eastAsia"/>
          <w:color w:val="auto"/>
          <w:lang w:eastAsia="zh-CN"/>
        </w:rPr>
        <w:t>；</w:t>
      </w:r>
    </w:p>
    <w:p>
      <w:pPr>
        <w:pStyle w:val="9"/>
        <w:rPr>
          <w:rFonts w:hint="default" w:eastAsia="黑体"/>
          <w:color w:val="auto"/>
          <w:lang w:val="en-US" w:eastAsia="zh-CN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）▲标识的指标负偏离≥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项，投标企业技术分值为0分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▲标识的指标和“无标识”指标负偏离≥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项，投标企业技术分值为0分</w:t>
      </w:r>
      <w:r>
        <w:rPr>
          <w:rFonts w:hint="eastAsia"/>
          <w:color w:val="auto"/>
          <w:lang w:eastAsia="zh-CN"/>
        </w:rPr>
        <w:t>。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pStyle w:val="9"/>
        <w:rPr>
          <w:color w:val="auto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>
      <w:bookmarkStart w:id="43" w:name="_GoBack"/>
      <w:bookmarkEnd w:id="4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楷体_GB2312" w:hAnsi="楷体" w:eastAsia="楷体_GB2312" w:cs="楷体"/>
        <w:sz w:val="21"/>
        <w:szCs w:val="21"/>
      </w:rPr>
    </w:pPr>
    <w:r>
      <w:rPr>
        <w:sz w:val="18"/>
      </w:rPr>
      <w:drawing>
        <wp:anchor distT="0" distB="0" distL="114300" distR="114300" simplePos="0" relativeHeight="25169920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8467090"/>
          <wp:effectExtent l="0" t="0" r="2540" b="10160"/>
          <wp:wrapNone/>
          <wp:docPr id="29" name="WordPictureWatermark120460" descr="水印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WordPictureWatermark120460" descr="水印图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846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>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24978362" o:spid="_x0000_s2050" o:spt="136" type="#_x0000_t136" style="position:absolute;left:0pt;height:219.8pt;width:439.6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24978361" o:spid="_x0000_s2049" o:spt="136" type="#_x0000_t136" style="position:absolute;left:0pt;height:219.8pt;width:439.6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线下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28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2025-10-21T10:05:16Z</dcterms:created>
  <dc:creator>DOCTOR</dc:creator>
  <cp:lastModifiedBy>nyl</cp:lastModifiedBy>
  <dcterms:modified xsi:type="dcterms:W3CDTF">2025-10-21T10:06:00Z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