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10020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70"/>
        <w:gridCol w:w="506"/>
        <w:gridCol w:w="824"/>
        <w:gridCol w:w="1"/>
        <w:gridCol w:w="338"/>
        <w:gridCol w:w="4"/>
        <w:gridCol w:w="877"/>
        <w:gridCol w:w="862"/>
        <w:gridCol w:w="3994"/>
        <w:gridCol w:w="991"/>
        <w:gridCol w:w="3"/>
        <w:gridCol w:w="141"/>
        <w:gridCol w:w="224"/>
        <w:gridCol w:w="10"/>
        <w:gridCol w:w="8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02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采购需求表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  <w:t>项目</w:t>
            </w: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  <w:t>编号</w:t>
            </w:r>
          </w:p>
        </w:tc>
        <w:tc>
          <w:tcPr>
            <w:tcW w:w="204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2025-JQ06-F5045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项目</w:t>
            </w: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名称</w:t>
            </w:r>
          </w:p>
        </w:tc>
        <w:tc>
          <w:tcPr>
            <w:tcW w:w="3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宫腔镜内窥镜等维修</w:t>
            </w:r>
          </w:p>
        </w:tc>
        <w:tc>
          <w:tcPr>
            <w:tcW w:w="11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最高限价</w:t>
            </w: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（万元）</w:t>
            </w:r>
          </w:p>
        </w:tc>
        <w:tc>
          <w:tcPr>
            <w:tcW w:w="11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30.45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3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67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3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020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3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提供STORZ宫腔镜系统配套使用的30°内窥镜、 内鞘、 单极工作手件、 镜鞘维修</w:t>
            </w:r>
          </w:p>
        </w:tc>
        <w:tc>
          <w:tcPr>
            <w:tcW w:w="3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工程师实力</w:t>
            </w:r>
          </w:p>
        </w:tc>
        <w:tc>
          <w:tcPr>
            <w:tcW w:w="3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投标人或实际服务机构拥有专业的技术支持团队≥3人</w:t>
            </w:r>
          </w:p>
        </w:tc>
        <w:tc>
          <w:tcPr>
            <w:tcW w:w="3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服务企业要求1</w:t>
            </w:r>
          </w:p>
        </w:tc>
        <w:tc>
          <w:tcPr>
            <w:tcW w:w="3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投标人须为原厂或原厂合法医疗设备售后服务授权代理商</w:t>
            </w:r>
          </w:p>
        </w:tc>
        <w:tc>
          <w:tcPr>
            <w:tcW w:w="3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厂家资质或授权材料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服务企业要求2</w:t>
            </w:r>
          </w:p>
        </w:tc>
        <w:tc>
          <w:tcPr>
            <w:tcW w:w="3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投标人或实际服务机构应在北京市内设有长期稳定的服务及后≥2年</w:t>
            </w:r>
          </w:p>
        </w:tc>
        <w:tc>
          <w:tcPr>
            <w:tcW w:w="3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服务内容1</w:t>
            </w:r>
          </w:p>
        </w:tc>
        <w:tc>
          <w:tcPr>
            <w:tcW w:w="3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更换30°内窥镜3个，型号：26105BA，性能达到新配件的质量标准</w:t>
            </w:r>
          </w:p>
        </w:tc>
        <w:tc>
          <w:tcPr>
            <w:tcW w:w="3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服务内容2</w:t>
            </w:r>
          </w:p>
        </w:tc>
        <w:tc>
          <w:tcPr>
            <w:tcW w:w="3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更换内鞘2个，型号：26050XA，性能达到新配件的质量标准</w:t>
            </w:r>
          </w:p>
        </w:tc>
        <w:tc>
          <w:tcPr>
            <w:tcW w:w="3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服务内容3</w:t>
            </w:r>
          </w:p>
        </w:tc>
        <w:tc>
          <w:tcPr>
            <w:tcW w:w="3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更换单极工作手件1个，型号：26050E，性能达到新配件的质量标准</w:t>
            </w:r>
          </w:p>
        </w:tc>
        <w:tc>
          <w:tcPr>
            <w:tcW w:w="3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服务内容4</w:t>
            </w:r>
          </w:p>
        </w:tc>
        <w:tc>
          <w:tcPr>
            <w:tcW w:w="3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更换镜鞘2个，型号：26050SL，性能达到新配件的质量标准</w:t>
            </w:r>
          </w:p>
        </w:tc>
        <w:tc>
          <w:tcPr>
            <w:tcW w:w="3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验收方法</w:t>
            </w:r>
          </w:p>
        </w:tc>
        <w:tc>
          <w:tcPr>
            <w:tcW w:w="3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配件更换后配合医工部门和临床科室进行质量验收，应满足临床对该批次的使用需求，不符合需求的不予以验收</w:t>
            </w:r>
          </w:p>
        </w:tc>
        <w:tc>
          <w:tcPr>
            <w:tcW w:w="3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020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3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合同签订后1个月内交付，交付地点由甲方指定</w:t>
            </w:r>
          </w:p>
        </w:tc>
        <w:tc>
          <w:tcPr>
            <w:tcW w:w="3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3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服务完成验收后付100%</w:t>
            </w:r>
            <w:bookmarkEnd w:id="0"/>
          </w:p>
        </w:tc>
        <w:tc>
          <w:tcPr>
            <w:tcW w:w="3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质量保障</w:t>
            </w:r>
          </w:p>
        </w:tc>
        <w:tc>
          <w:tcPr>
            <w:tcW w:w="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3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服务完成后3个月内重复性故障，提供免费换新服务</w:t>
            </w:r>
          </w:p>
        </w:tc>
        <w:tc>
          <w:tcPr>
            <w:tcW w:w="3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3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质量控制</w:t>
            </w:r>
          </w:p>
        </w:tc>
        <w:tc>
          <w:tcPr>
            <w:tcW w:w="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3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所更换的配件必须是原厂全新配件。如因更换配件（维修工程师误操作、配件质量问题等）导致设备故障扩大化，由投标人或实际服务机构承担责任。</w:t>
            </w:r>
          </w:p>
        </w:tc>
        <w:tc>
          <w:tcPr>
            <w:tcW w:w="3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020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400" w:firstLineChars="200"/>
              <w:jc w:val="left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  <w:t>2.★及▲标识的指标，需逐条按备注要求提供证明材料，未明确的可由企业提供承诺；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imes New Roman''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ngXian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隶书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行书">
    <w:altName w:val="宋体"/>
    <w:panose1 w:val="02010609010101010101"/>
    <w:charset w:val="86"/>
    <w:family w:val="auto"/>
    <w:pitch w:val="default"/>
    <w:sig w:usb0="00000000" w:usb1="00000000" w:usb2="0000001E" w:usb3="00000000" w:csb0="2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25272B"/>
    <w:rsid w:val="177F4256"/>
    <w:rsid w:val="19CA0BAD"/>
    <w:rsid w:val="20DE52D5"/>
    <w:rsid w:val="2925272B"/>
    <w:rsid w:val="364E2173"/>
    <w:rsid w:val="3A911BC2"/>
    <w:rsid w:val="3F8A7D42"/>
    <w:rsid w:val="479F61AB"/>
    <w:rsid w:val="4F017A9D"/>
    <w:rsid w:val="548C78EE"/>
    <w:rsid w:val="5C832C38"/>
    <w:rsid w:val="5DD52200"/>
    <w:rsid w:val="6134384D"/>
    <w:rsid w:val="64B4110C"/>
    <w:rsid w:val="671D6288"/>
    <w:rsid w:val="7559682C"/>
    <w:rsid w:val="7C9D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880" w:firstLineChars="200"/>
      <w:jc w:val="left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4"/>
    <w:next w:val="1"/>
    <w:qFormat/>
    <w:uiPriority w:val="0"/>
    <w:pPr>
      <w:keepNext/>
      <w:keepLines/>
      <w:spacing w:beforeLines="0" w:beforeAutospacing="0" w:afterLines="0" w:afterAutospacing="0" w:line="560" w:lineRule="exact"/>
      <w:outlineLvl w:val="0"/>
    </w:pPr>
    <w:rPr>
      <w:rFonts w:ascii="Times New Roman" w:hAnsi="Times New Roman" w:eastAsia="方正小标宋简体" w:cs="Times New Roman"/>
      <w:b w:val="0"/>
      <w:kern w:val="44"/>
      <w:sz w:val="44"/>
    </w:rPr>
  </w:style>
  <w:style w:type="paragraph" w:styleId="5">
    <w:name w:val="heading 2"/>
    <w:basedOn w:val="1"/>
    <w:next w:val="1"/>
    <w:unhideWhenUsed/>
    <w:qFormat/>
    <w:uiPriority w:val="0"/>
    <w:pPr>
      <w:spacing w:beforeAutospacing="0" w:afterAutospacing="0" w:line="560" w:lineRule="exact"/>
      <w:ind w:firstLine="880" w:firstLineChars="200"/>
      <w:jc w:val="left"/>
      <w:outlineLvl w:val="1"/>
    </w:pPr>
    <w:rPr>
      <w:rFonts w:hint="eastAsia" w:ascii="宋体" w:hAnsi="宋体" w:eastAsia="黑体" w:cs="Times New Roman"/>
      <w:kern w:val="0"/>
      <w:szCs w:val="36"/>
    </w:rPr>
  </w:style>
  <w:style w:type="paragraph" w:styleId="6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2"/>
    </w:pPr>
    <w:rPr>
      <w:b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4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9">
    <w:name w:val="一级标题"/>
    <w:basedOn w:val="3"/>
    <w:next w:val="1"/>
    <w:qFormat/>
    <w:uiPriority w:val="0"/>
    <w:pPr>
      <w:spacing w:line="560" w:lineRule="exact"/>
      <w:ind w:firstLine="880" w:firstLineChars="200"/>
    </w:pPr>
    <w:rPr>
      <w:rFonts w:eastAsia="黑体" w:asciiTheme="minorAscii" w:hAnsiTheme="minorAscii"/>
      <w:sz w:val="32"/>
    </w:rPr>
  </w:style>
  <w:style w:type="paragraph" w:customStyle="1" w:styleId="10">
    <w:name w:val="样式1"/>
    <w:basedOn w:val="3"/>
    <w:next w:val="1"/>
    <w:qFormat/>
    <w:uiPriority w:val="0"/>
    <w:pPr>
      <w:spacing w:line="560" w:lineRule="exact"/>
      <w:ind w:firstLine="880" w:firstLineChars="200"/>
      <w:jc w:val="left"/>
    </w:pPr>
    <w:rPr>
      <w:rFonts w:eastAsia="黑体" w:asciiTheme="minorAscii" w:hAnsiTheme="minorAscii"/>
      <w:sz w:val="32"/>
    </w:rPr>
  </w:style>
  <w:style w:type="character" w:customStyle="1" w:styleId="11">
    <w:name w:val="font21"/>
    <w:basedOn w:val="7"/>
    <w:uiPriority w:val="0"/>
    <w:rPr>
      <w:rFonts w:hint="eastAsia" w:ascii="黑体" w:hAnsi="宋体" w:eastAsia="黑体" w:cs="黑体"/>
      <w:color w:val="000000"/>
      <w:sz w:val="24"/>
      <w:szCs w:val="24"/>
      <w:u w:val="none"/>
    </w:rPr>
  </w:style>
  <w:style w:type="character" w:customStyle="1" w:styleId="12">
    <w:name w:val="font91"/>
    <w:basedOn w:val="7"/>
    <w:uiPriority w:val="0"/>
    <w:rPr>
      <w:rFonts w:hint="eastAsia" w:ascii="黑体" w:hAnsi="宋体" w:eastAsia="黑体" w:cs="黑体"/>
      <w:color w:val="000000"/>
      <w:sz w:val="16"/>
      <w:szCs w:val="16"/>
      <w:u w:val="none"/>
    </w:rPr>
  </w:style>
  <w:style w:type="character" w:customStyle="1" w:styleId="13">
    <w:name w:val="font31"/>
    <w:basedOn w:val="7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71"/>
    <w:basedOn w:val="7"/>
    <w:uiPriority w:val="0"/>
    <w:rPr>
      <w:rFonts w:hint="eastAsia" w:ascii="黑体" w:hAnsi="宋体" w:eastAsia="黑体" w:cs="黑体"/>
      <w:color w:val="000000"/>
      <w:sz w:val="24"/>
      <w:szCs w:val="24"/>
      <w:u w:val="none"/>
    </w:rPr>
  </w:style>
  <w:style w:type="character" w:customStyle="1" w:styleId="15">
    <w:name w:val="font51"/>
    <w:basedOn w:val="7"/>
    <w:uiPriority w:val="0"/>
    <w:rPr>
      <w:rFonts w:hint="eastAsia" w:ascii="黑体" w:hAnsi="宋体" w:eastAsia="黑体" w:cs="黑体"/>
      <w:color w:val="000000"/>
      <w:sz w:val="16"/>
      <w:szCs w:val="16"/>
      <w:u w:val="none"/>
    </w:rPr>
  </w:style>
  <w:style w:type="character" w:customStyle="1" w:styleId="16">
    <w:name w:val="font81"/>
    <w:basedOn w:val="7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7">
    <w:name w:val="font01"/>
    <w:basedOn w:val="7"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  <w:style w:type="character" w:customStyle="1" w:styleId="18">
    <w:name w:val="font11"/>
    <w:basedOn w:val="7"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9">
    <w:name w:val="font112"/>
    <w:basedOn w:val="7"/>
    <w:uiPriority w:val="0"/>
    <w:rPr>
      <w:rFonts w:hint="eastAsia" w:ascii="黑体" w:hAnsi="宋体" w:eastAsia="黑体" w:cs="黑体"/>
      <w:color w:val="000000"/>
      <w:sz w:val="16"/>
      <w:szCs w:val="16"/>
      <w:u w:val="none"/>
    </w:rPr>
  </w:style>
  <w:style w:type="character" w:customStyle="1" w:styleId="20">
    <w:name w:val="font101"/>
    <w:basedOn w:val="7"/>
    <w:uiPriority w:val="0"/>
    <w:rPr>
      <w:rFonts w:hint="eastAsia" w:ascii="黑体" w:hAnsi="宋体" w:eastAsia="黑体" w:cs="黑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2025-10-10T08:42:00Z</dcterms:created>
  <dc:creator>admin</dc:creator>
  <cp:lastModifiedBy>admin</cp:lastModifiedBy>
  <dcterms:modified xsi:type="dcterms:W3CDTF">2025-10-11T03:01:42Z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