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9762" w:type="dxa"/>
        <w:jc w:val="center"/>
        <w:tblInd w:w="-549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07"/>
        <w:gridCol w:w="575"/>
        <w:gridCol w:w="514"/>
        <w:gridCol w:w="343"/>
        <w:gridCol w:w="1435"/>
        <w:gridCol w:w="986"/>
        <w:gridCol w:w="3300"/>
        <w:gridCol w:w="472"/>
        <w:gridCol w:w="384"/>
        <w:gridCol w:w="258"/>
        <w:gridCol w:w="108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ascii="方正小标宋简体" w:hAnsi="方正小标宋简体" w:eastAsia="方正小标宋简体" w:cs="方正小标宋简体"/>
                <w:i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采购需求表（物资类）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8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  <w:lang w:eastAsia="zh-CN"/>
              </w:rPr>
              <w:t>编号</w:t>
            </w:r>
          </w:p>
        </w:tc>
        <w:tc>
          <w:tcPr>
            <w:tcW w:w="22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2025-JQ06-W5017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经鼻电子胃镜</w:t>
            </w:r>
          </w:p>
        </w:tc>
        <w:tc>
          <w:tcPr>
            <w:tcW w:w="111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10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</w:t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量化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用于胃的检查及治疗，可连接科室现有奥林巴斯CV-290设备使用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产品彩页、说明书或技术白皮书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具有NMPA认证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认证材料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视野角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≥140°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插入部外径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≤5.4mm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有效长度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≥1100mm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弯曲角度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上≥210°、下≥90°、左≥100°、右≥100°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特殊光观察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具有窄带成像功能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Lines="0" w:after="0" w:afterLines="0" w:line="240" w:lineRule="exact"/>
              <w:ind w:left="0" w:leftChars="0" w:right="0" w:rightChars="0" w:firstLine="0" w:firstLineChars="0"/>
              <w:jc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经鼻电子胃镜1套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合同签订后，货物验收合格后6个月内结清全部货款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5"/>
                <w:kern w:val="0"/>
                <w:sz w:val="20"/>
                <w:szCs w:val="20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在结清货款前，中标供应商根据医院合同执行部门出具的质保金缴纳凭证，向医院财务部门交纳合同总金额5%作为质量保证金，质保期满后无息退还质量保证金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售后服务1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原厂授权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（企业承诺）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售后服务2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保修期内免费提供定期设备维护保养服务，免费升级和维护软件，免费提供使用培训；保修期外，原软件维护仅收工时费。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售后服务3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提供不少于3人次、1天的工程师维修培训。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售后服务4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(响应时间)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维修响应时间≤0.5个工作日（京内）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3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61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3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3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采购实施建议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160" w:leftChars="-50" w:right="-160" w:rightChars="-5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技术偏离要求</w:t>
            </w:r>
          </w:p>
        </w:tc>
        <w:tc>
          <w:tcPr>
            <w:tcW w:w="82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▲标识的指标负偏离≥3项，投标企业技术分值为0分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FF0000"/>
                <w:kern w:val="0"/>
                <w:sz w:val="20"/>
                <w:szCs w:val="20"/>
                <w:u w:val="none"/>
                <w:lang w:val="en-US" w:eastAsia="zh-CN" w:bidi="ar"/>
              </w:rPr>
              <w:t>▲标识的指标和“无标识”指标负偏离≥4项，投标企业技术分值为0分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0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供应商资格</w:t>
            </w:r>
          </w:p>
        </w:tc>
        <w:tc>
          <w:tcPr>
            <w:tcW w:w="826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医疗器械经营许可证或医疗器械备案凭证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762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0" w:firstLineChars="0"/>
              <w:jc w:val="left"/>
              <w:textAlignment w:val="top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注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right="0" w:rightChars="0" w:firstLine="400" w:firstLineChars="200"/>
              <w:jc w:val="left"/>
              <w:textAlignment w:val="top"/>
              <w:outlineLvl w:val="9"/>
              <w:rPr>
                <w:rFonts w:hint="eastAsia" w:ascii="黑体" w:hAnsi="宋体" w:eastAsia="黑体" w:cs="黑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  <w:t>2.★及▲标识的指标，需逐条按备注要求提供证明材料，未明确的可由企业提供承诺；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26900"/>
    <w:rsid w:val="19CA0BAD"/>
    <w:rsid w:val="20DE52D5"/>
    <w:rsid w:val="364E2173"/>
    <w:rsid w:val="479F61AB"/>
    <w:rsid w:val="6134384D"/>
    <w:rsid w:val="64B4110C"/>
    <w:rsid w:val="671D6288"/>
    <w:rsid w:val="6FF26900"/>
    <w:rsid w:val="7C9D0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2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2">
    <w:name w:val="font6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2025-10-25T01:40:00Z</dcterms:created>
  <dc:creator>admin</dc:creator>
  <cp:lastModifiedBy>admin</cp:lastModifiedBy>
  <dcterms:modified xsi:type="dcterms:W3CDTF">2025-10-25T01:54:43Z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