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spacing w:before="156" w:beforeLines="50" w:after="156" w:afterLines="50" w:line="572" w:lineRule="exact"/>
        <w:jc w:val="center"/>
        <w:outlineLvl w:val="0"/>
        <w:rPr>
          <w:rFonts w:eastAsia="方正小标宋简体"/>
          <w:kern w:val="0"/>
          <w:sz w:val="28"/>
          <w:szCs w:val="28"/>
        </w:rPr>
      </w:pPr>
      <w:r>
        <w:rPr>
          <w:rFonts w:eastAsia="方正小标宋简体"/>
          <w:kern w:val="0"/>
          <w:sz w:val="44"/>
          <w:szCs w:val="44"/>
        </w:rPr>
        <w:t>采购需求表（物资类）</w:t>
      </w:r>
    </w:p>
    <w:tbl>
      <w:tblPr>
        <w:tblStyle w:val="18"/>
        <w:tblW w:w="9523" w:type="dxa"/>
        <w:jc w:val="center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01"/>
        <w:gridCol w:w="1484"/>
        <w:gridCol w:w="625"/>
        <w:gridCol w:w="75"/>
        <w:gridCol w:w="1095"/>
        <w:gridCol w:w="2115"/>
        <w:gridCol w:w="1208"/>
        <w:gridCol w:w="727"/>
        <w:gridCol w:w="1693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3" w:hRule="atLeast"/>
          <w:jc w:val="center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快速诊治集成箱</w:t>
            </w:r>
          </w:p>
        </w:tc>
        <w:tc>
          <w:tcPr>
            <w:tcW w:w="1208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最高限价（万元）</w:t>
            </w:r>
          </w:p>
        </w:tc>
        <w:tc>
          <w:tcPr>
            <w:tcW w:w="242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43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序号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需求名称</w:t>
            </w:r>
          </w:p>
        </w:tc>
        <w:tc>
          <w:tcPr>
            <w:tcW w:w="700" w:type="dxa"/>
            <w:gridSpan w:val="2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是否量化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备注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（证明材料等）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5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基本要求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研制快速诊治集成箱，包含自供电系统，能进行双耳纯音听力测试，测试频率范围为0.25～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8</w:t>
            </w:r>
            <w:r>
              <w:rPr>
                <w:rFonts w:eastAsia="黑体"/>
                <w:kern w:val="0"/>
                <w:sz w:val="20"/>
                <w:lang w:bidi="ar"/>
              </w:rPr>
              <w:t>kHz。噪声监测功能，量程为30～130dB（A），频率范围20～20000Hz。噪声防护降噪值不低于20dB。配备不低于3种噪声性聋救治药物。听力筛查报告需在15分钟内生成，实时监测环境噪声。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纯音听力计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集成箱应配备纯音听力计，包含纯音测听及中耳功能测试、噪声测试等功能。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66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2.1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标准规范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听力检测设备应符合NMPA。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2.2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纯音听力测试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双耳听力测试，0.25～8kHz的频率范围。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2.3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高频听力测试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支持16kHz超高频听力检测功能。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2.4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/>
                <w:spacing w:val="-1"/>
                <w:sz w:val="20"/>
              </w:rPr>
            </w:pPr>
            <w:r>
              <w:rPr>
                <w:rFonts w:eastAsia="黑体"/>
                <w:spacing w:val="-1"/>
                <w:sz w:val="20"/>
              </w:rPr>
              <w:t>中耳鼓室图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探测音频率的强度精度：≥226 Hz(±1%，85.3 dB SPL±3 dB）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；</w:t>
            </w:r>
            <w:r>
              <w:rPr>
                <w:rFonts w:eastAsia="黑体"/>
                <w:kern w:val="0"/>
                <w:sz w:val="20"/>
                <w:lang w:bidi="ar"/>
              </w:rPr>
              <w:t>压力步距至少具备4种可选：1、5、10、50 daPa等。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2.5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jc w:val="center"/>
              <w:rPr>
                <w:rFonts w:eastAsia="黑体"/>
                <w:spacing w:val="-1"/>
                <w:sz w:val="20"/>
              </w:rPr>
            </w:pPr>
            <w:r>
              <w:rPr>
                <w:rFonts w:eastAsia="黑体"/>
                <w:spacing w:val="-1"/>
                <w:sz w:val="20"/>
              </w:rPr>
              <w:t>声反射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刺激强度：≥ 70至100 dB HL；步距：5 dB；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rPr>
          <w:trHeight w:val="655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噪声监测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配备噪声监测仪器，</w:t>
            </w:r>
            <w:r>
              <w:rPr>
                <w:rFonts w:eastAsia="黑体"/>
                <w:kern w:val="0"/>
                <w:sz w:val="20"/>
                <w:lang w:bidi="ar"/>
              </w:rPr>
              <w:t>监测量程30～130dB(A)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频率范围20～20000H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z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噪声防护耳机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配备噪声防护耳机，能够进行降噪功能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4.1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噪声防护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在315Hz～8000Hz内，平均降噪值≥25dB。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4.2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耳机音频输出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耳机能语音通话，开阔地通话距离≥500m。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4.3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ascii="黑体" w:hAnsi="黑体" w:eastAsia="黑体" w:cs="黑体"/>
                <w:kern w:val="0"/>
                <w:sz w:val="20"/>
                <w:lang w:bidi="ar"/>
              </w:rPr>
              <w:t>抗噪门限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在高噪声下可正常通话，噪声强度≥1</w:t>
            </w:r>
            <w:r>
              <w:rPr>
                <w:rFonts w:eastAsia="黑体"/>
                <w:kern w:val="0"/>
                <w:sz w:val="20"/>
                <w:lang w:bidi="ar"/>
              </w:rPr>
              <w:t>20 dB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4.4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连续工作时间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常温下产品连续工作时间≥8h。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4.4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电磁兼容性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sz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符合GJB 151A-1997中RE102、RS103的要求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救治药物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盒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配置药物存储功能，能够搭载至少三种噪声性聋救治药物，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可以搭载丸剂、片剂及液体药物，</w:t>
            </w:r>
            <w:r>
              <w:rPr>
                <w:rFonts w:eastAsia="黑体"/>
                <w:kern w:val="0"/>
                <w:sz w:val="20"/>
                <w:lang w:bidi="ar"/>
              </w:rPr>
              <w:t>便于紧急救治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及单独投送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集成箱设计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功能设备整合成集成箱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6.1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集成箱外观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</w:pPr>
            <w:r>
              <w:rPr>
                <w:kern w:val="0"/>
                <w:sz w:val="20"/>
                <w:lang w:bidi="ar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整体功能集成为一个集成箱，迷彩外观风格，大小不超过43cm×32cm×73cm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6.2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集成箱供电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内置锂电或电容</w:t>
            </w:r>
            <w:r>
              <w:rPr>
                <w:rFonts w:hint="eastAsia" w:eastAsia="黑体"/>
                <w:sz w:val="20"/>
                <w:lang w:bidi="ar"/>
              </w:rPr>
              <w:t>，</w:t>
            </w:r>
            <w:r>
              <w:rPr>
                <w:rFonts w:eastAsia="黑体"/>
                <w:sz w:val="20"/>
                <w:lang w:bidi="ar"/>
              </w:rPr>
              <w:t>输入：9–36 VDC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sz w:val="20"/>
                <w:lang w:bidi="ar"/>
              </w:rPr>
              <w:t>输出：</w:t>
            </w:r>
            <w:r>
              <w:rPr>
                <w:rFonts w:eastAsia="黑体"/>
                <w:kern w:val="0"/>
                <w:sz w:val="20"/>
                <w:szCs w:val="24"/>
                <w:lang w:bidi="ar"/>
              </w:rPr>
              <w:t>USB-C PD 20 V/5 A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6.3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防护性能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IP65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级防尘防水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相关证明材料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配置要求1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设备应具备纯音听力计，高频测听耳机，噪声防护耳机，环境噪声监测仪，噪声防治药盒。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9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kern w:val="0"/>
                <w:sz w:val="20"/>
                <w:lang w:bidi="ar"/>
              </w:rPr>
              <w:t>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配置要求2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配置搭载有windows操作系统平板电脑，能够安装</w:t>
            </w:r>
            <w:r>
              <w:rPr>
                <w:rFonts w:hint="eastAsia" w:eastAsia="黑体"/>
                <w:kern w:val="0"/>
                <w:sz w:val="20"/>
                <w:lang w:bidi="ar"/>
              </w:rPr>
              <w:t>自研的</w:t>
            </w:r>
            <w:r>
              <w:rPr>
                <w:rFonts w:eastAsia="黑体"/>
                <w:kern w:val="0"/>
                <w:sz w:val="20"/>
                <w:lang w:bidi="ar"/>
              </w:rPr>
              <w:t>噪声性聋监测系统。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hint="eastAsia" w:eastAsia="黑体"/>
                <w:sz w:val="20"/>
              </w:rPr>
              <w:t>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验收标准方法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按照投标文件、采购合同、质量标准等，组织对医疗设备进行质量验收，出具验收报告。验收过程中对于核心参数存疑需检测的，可委托地方具有相应检测能力的机构提供技术支持。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企业盖章承诺函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5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交货时间、交货地点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合同签订后1个月内交付，交付地点由甲方指定。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  <w:lang w:bidi="ar"/>
              </w:rPr>
            </w:pPr>
            <w:r>
              <w:rPr>
                <w:rFonts w:eastAsia="黑体"/>
                <w:sz w:val="20"/>
                <w:lang w:bidi="ar"/>
              </w:rPr>
              <w:t>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付款及结算方式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签订合同付（预付）0%，物资到货（服务完成）验收后付95%。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履约保证金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验收合格后满1年无质量问题支付剩余5%（不超过5%）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4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产品包装和运输要求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按照国家、行业相关标准规范，产品确保包装完好，运输确保不对产品造成损伤。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4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5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售后服务1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保修年限不低于1年，全年故障停机时间不高于5%（按365日/年计算)。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6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售后服务2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保修期内免费提供定期维护保养服务，免费升级和维护软件，免费提供使用培训。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7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售后服务3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（质保）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提供不少于1人次、2天的工程师维修培训。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8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售后服务4</w:t>
            </w:r>
            <w:r>
              <w:rPr>
                <w:rFonts w:eastAsia="黑体"/>
                <w:kern w:val="0"/>
                <w:sz w:val="20"/>
                <w:lang w:bidi="ar"/>
              </w:rPr>
              <w:br w:type="textWrapping"/>
            </w:r>
            <w:r>
              <w:rPr>
                <w:rFonts w:eastAsia="黑体"/>
                <w:kern w:val="0"/>
                <w:sz w:val="20"/>
                <w:lang w:bidi="ar"/>
              </w:rPr>
              <w:t>（响应时间）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维修响应时间≤4小时，维修到达现场时间≤48小时。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2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9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备品备件要求（零配件）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由供应商承诺项目使用寿命周期内保证零配件供应。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10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专用工具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描述应提供的配套专修工具和使用工具。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11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知识产权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报价供应商应当保证采购单位在使用该物资或其任何一部分时，不受第三方侵权指控。同时，报价供应商不得向第三方泄露采购机构提供的技术文件等材料。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12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物资编目编码、打码贴签要求</w:t>
            </w:r>
          </w:p>
        </w:tc>
        <w:tc>
          <w:tcPr>
            <w:tcW w:w="625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本项目对物资的编目编码、打码贴签要求，报价供应商应当予以明确响应，相关费用包含在报价中。</w:t>
            </w:r>
          </w:p>
        </w:tc>
        <w:tc>
          <w:tcPr>
            <w:tcW w:w="72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否</w:t>
            </w:r>
          </w:p>
        </w:tc>
        <w:tc>
          <w:tcPr>
            <w:tcW w:w="1693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  <w:jc w:val="center"/>
        </w:trPr>
        <w:tc>
          <w:tcPr>
            <w:tcW w:w="95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采购实施建议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1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采购方式</w:t>
            </w:r>
          </w:p>
        </w:tc>
        <w:tc>
          <w:tcPr>
            <w:tcW w:w="75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 xml:space="preserve">□公开招标    □邀请招标    </w:t>
            </w: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☑</w:t>
            </w:r>
            <w:r>
              <w:rPr>
                <w:rFonts w:eastAsia="黑体"/>
                <w:kern w:val="0"/>
                <w:sz w:val="20"/>
                <w:lang w:bidi="ar"/>
              </w:rPr>
              <w:t>竞争性谈判    □单一来源     □询价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sz w:val="20"/>
              </w:rPr>
              <w:t>2</w:t>
            </w:r>
          </w:p>
        </w:tc>
        <w:tc>
          <w:tcPr>
            <w:tcW w:w="1484" w:type="dxa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评审方法</w:t>
            </w:r>
          </w:p>
        </w:tc>
        <w:tc>
          <w:tcPr>
            <w:tcW w:w="7538" w:type="dxa"/>
            <w:gridSpan w:val="7"/>
            <w:tcBorders>
              <w:top w:val="single" w:color="000000" w:sz="4" w:space="0"/>
              <w:left w:val="single" w:color="000000" w:sz="4" w:space="0"/>
              <w:bottom w:val="single" w:color="auto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sz w:val="20"/>
              </w:rPr>
            </w:pPr>
            <w:r>
              <w:rPr>
                <w:rFonts w:ascii="Segoe UI Symbol" w:hAnsi="Segoe UI Symbol" w:eastAsia="黑体" w:cs="Segoe UI Symbol"/>
                <w:kern w:val="0"/>
                <w:sz w:val="20"/>
                <w:lang w:bidi="ar"/>
              </w:rPr>
              <w:t>☑</w:t>
            </w:r>
            <w:r>
              <w:rPr>
                <w:rFonts w:eastAsia="黑体"/>
                <w:kern w:val="0"/>
                <w:sz w:val="20"/>
                <w:lang w:bidi="ar"/>
              </w:rPr>
              <w:t>综合评分法      □质量优先法      □经评审的最低价法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  <w:jc w:val="center"/>
        </w:trPr>
        <w:tc>
          <w:tcPr>
            <w:tcW w:w="501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3</w:t>
            </w:r>
          </w:p>
        </w:tc>
        <w:tc>
          <w:tcPr>
            <w:tcW w:w="1484" w:type="dxa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技术偏离要求</w:t>
            </w:r>
          </w:p>
        </w:tc>
        <w:tc>
          <w:tcPr>
            <w:tcW w:w="7538" w:type="dxa"/>
            <w:gridSpan w:val="7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▲标识的指标负偏离≥3项，投标企业技术分值为0分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eastAsia="黑体"/>
                <w:kern w:val="0"/>
                <w:sz w:val="20"/>
                <w:lang w:bidi="ar"/>
              </w:rPr>
            </w:pPr>
            <w:r>
              <w:rPr>
                <w:rFonts w:eastAsia="黑体"/>
                <w:kern w:val="0"/>
                <w:sz w:val="20"/>
                <w:lang w:bidi="ar"/>
              </w:rPr>
              <w:t>▲标识的指标和“无标识”指标负偏离≥3项，投标企业技术分值为0分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915" w:hRule="atLeast"/>
          <w:jc w:val="center"/>
        </w:trPr>
        <w:tc>
          <w:tcPr>
            <w:tcW w:w="9523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注：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kern w:val="0"/>
                <w:sz w:val="18"/>
                <w:szCs w:val="18"/>
                <w:lang w:bidi="ar"/>
              </w:rPr>
              <w:t>1.</w:t>
            </w:r>
            <w:r>
              <w:rPr>
                <w:rFonts w:ascii="Segoe UI Symbol" w:hAnsi="Segoe UI Symbol" w:cs="Segoe UI Symbol"/>
                <w:kern w:val="0"/>
                <w:sz w:val="18"/>
                <w:szCs w:val="18"/>
                <w:lang w:bidi="ar"/>
              </w:rPr>
              <w:t>★</w:t>
            </w:r>
            <w:r>
              <w:rPr>
                <w:kern w:val="0"/>
                <w:sz w:val="18"/>
                <w:szCs w:val="18"/>
                <w:lang w:bidi="ar"/>
              </w:rPr>
              <w:t>指标为必须响应指标，任意一项不满足要求即做废标处理；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kern w:val="0"/>
                <w:sz w:val="18"/>
                <w:szCs w:val="18"/>
                <w:lang w:bidi="ar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 w:bidi="ar"/>
              </w:rPr>
              <w:t>2</w:t>
            </w:r>
            <w:r>
              <w:rPr>
                <w:kern w:val="0"/>
                <w:sz w:val="18"/>
                <w:szCs w:val="18"/>
                <w:lang w:bidi="ar"/>
              </w:rPr>
              <w:t>.</w:t>
            </w:r>
            <w:r>
              <w:rPr>
                <w:rFonts w:ascii="Segoe UI Symbol" w:hAnsi="Segoe UI Symbol" w:cs="Segoe UI Symbol"/>
                <w:kern w:val="0"/>
                <w:sz w:val="18"/>
                <w:szCs w:val="18"/>
                <w:lang w:bidi="ar"/>
              </w:rPr>
              <w:t>★</w:t>
            </w:r>
            <w:r>
              <w:rPr>
                <w:kern w:val="0"/>
                <w:sz w:val="18"/>
                <w:szCs w:val="18"/>
                <w:lang w:bidi="ar"/>
              </w:rPr>
              <w:t>及▲标识的指标，采购</w:t>
            </w:r>
            <w:bookmarkStart w:id="0" w:name="_GoBack"/>
            <w:bookmarkEnd w:id="0"/>
            <w:r>
              <w:rPr>
                <w:kern w:val="0"/>
                <w:sz w:val="18"/>
                <w:szCs w:val="18"/>
                <w:lang w:bidi="ar"/>
              </w:rPr>
              <w:t>单位逐条明确证明材料，无法明确的默认由企业提供承诺；</w:t>
            </w:r>
          </w:p>
          <w:p>
            <w:pPr>
              <w:widowControl/>
              <w:spacing w:line="300" w:lineRule="exact"/>
              <w:ind w:left="600" w:leftChars="200" w:hanging="180" w:hangingChars="100"/>
              <w:jc w:val="left"/>
              <w:textAlignment w:val="center"/>
              <w:rPr>
                <w:sz w:val="22"/>
                <w:szCs w:val="22"/>
              </w:rPr>
            </w:pPr>
            <w:r>
              <w:rPr>
                <w:rFonts w:hint="eastAsia"/>
                <w:kern w:val="0"/>
                <w:sz w:val="18"/>
                <w:szCs w:val="18"/>
                <w:lang w:val="en-US" w:eastAsia="zh-CN" w:bidi="ar"/>
              </w:rPr>
              <w:t>3</w:t>
            </w:r>
            <w:r>
              <w:rPr>
                <w:kern w:val="0"/>
                <w:sz w:val="18"/>
                <w:szCs w:val="18"/>
                <w:lang w:bidi="ar"/>
              </w:rPr>
              <w:t>.经济要求不接受企业负偏离；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19C32B39-CFBE-408A-A5EE-1FCEA0C05A87}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A00002EF" w:usb1="4000207B" w:usb2="00000000" w:usb3="00000000" w:csb0="2000009F" w:csb1="00000000"/>
  </w:font>
  <w:font w:name="等线 Light">
    <w:altName w:val="宋体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等线">
    <w:altName w:val="Arial Unicode MS"/>
    <w:panose1 w:val="02010600030101010101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auto"/>
    <w:pitch w:val="default"/>
    <w:sig w:usb0="00000001" w:usb1="080E0000" w:usb2="00000000" w:usb3="00000000" w:csb0="00040000" w:csb1="00000000"/>
    <w:embedRegular r:id="rId2" w:fontKey="{AB1F28C5-F29C-4542-93BD-571927E1C79F}"/>
  </w:font>
  <w:font w:name="Segoe UI Symbol">
    <w:panose1 w:val="020B0502040204020203"/>
    <w:charset w:val="00"/>
    <w:family w:val="swiss"/>
    <w:pitch w:val="default"/>
    <w:sig w:usb0="8000006F" w:usb1="1200FBEF" w:usb2="0064C000" w:usb3="00000002" w:csb0="00000001" w:csb1="40000000"/>
    <w:embedRegular r:id="rId3" w:fontKey="{84A80148-B417-4894-B581-77F3FD13D760}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  <w:font w:name="Tahoma">
    <w:panose1 w:val="020B0604030504040204"/>
    <w:charset w:val="00"/>
    <w:family w:val="auto"/>
    <w:pitch w:val="default"/>
    <w:sig w:usb0="E1002EFF" w:usb1="C000605B" w:usb2="00000029" w:usb3="00000000" w:csb0="200101FF" w:csb1="20280000"/>
  </w:font>
  <w:font w:name="等线 Light">
    <w:altName w:val="Segoe Print"/>
    <w:panose1 w:val="00000000000000000000"/>
    <w:charset w:val="00"/>
    <w:family w:val="auto"/>
    <w:pitch w:val="default"/>
    <w:sig w:usb0="00000000" w:usb1="00000000" w:usb2="00000000" w:usb3="00000000" w:csb0="00000000" w:csb1="00000000"/>
  </w:font>
  <w:font w:name="Segoe Print">
    <w:panose1 w:val="02000600000000000000"/>
    <w:charset w:val="00"/>
    <w:family w:val="auto"/>
    <w:pitch w:val="default"/>
    <w:sig w:usb0="0000028F" w:usb1="00000000" w:usb2="00000000" w:usb3="00000000" w:csb0="2000009F" w:csb1="4701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embedTrueTypeFonts/>
  <w:saveSubset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commondata" w:val="eyJoZGlkIjoiZGNkMjJjM2U1NDQ1OWExNzZmNzNjNmU3MmZlZjc2ZGQifQ=="/>
  </w:docVars>
  <w:rsids>
    <w:rsidRoot w:val="00183E93"/>
    <w:rsid w:val="00012084"/>
    <w:rsid w:val="000730B0"/>
    <w:rsid w:val="000734FC"/>
    <w:rsid w:val="000A3386"/>
    <w:rsid w:val="000D263C"/>
    <w:rsid w:val="00126E4E"/>
    <w:rsid w:val="00183E93"/>
    <w:rsid w:val="001926F7"/>
    <w:rsid w:val="002A126E"/>
    <w:rsid w:val="00302C96"/>
    <w:rsid w:val="003130CD"/>
    <w:rsid w:val="00324E39"/>
    <w:rsid w:val="003420F1"/>
    <w:rsid w:val="004666B6"/>
    <w:rsid w:val="0059184F"/>
    <w:rsid w:val="00594768"/>
    <w:rsid w:val="00657D9E"/>
    <w:rsid w:val="006729EA"/>
    <w:rsid w:val="006C46BE"/>
    <w:rsid w:val="00703CFC"/>
    <w:rsid w:val="00763D6E"/>
    <w:rsid w:val="00771800"/>
    <w:rsid w:val="007960BB"/>
    <w:rsid w:val="007A6213"/>
    <w:rsid w:val="00824CCC"/>
    <w:rsid w:val="00863B7B"/>
    <w:rsid w:val="00915E16"/>
    <w:rsid w:val="009350BB"/>
    <w:rsid w:val="009965AA"/>
    <w:rsid w:val="009C1720"/>
    <w:rsid w:val="009F075B"/>
    <w:rsid w:val="00A16744"/>
    <w:rsid w:val="00A55EC0"/>
    <w:rsid w:val="00BC3E77"/>
    <w:rsid w:val="00BF71E8"/>
    <w:rsid w:val="00C25DB5"/>
    <w:rsid w:val="00CA3209"/>
    <w:rsid w:val="00CB54BD"/>
    <w:rsid w:val="00CD153B"/>
    <w:rsid w:val="00CF77C1"/>
    <w:rsid w:val="00E53C54"/>
    <w:rsid w:val="00EB20BF"/>
    <w:rsid w:val="00F8158F"/>
    <w:rsid w:val="00FD0870"/>
    <w:rsid w:val="00FD79B8"/>
    <w:rsid w:val="07C53EF3"/>
    <w:rsid w:val="0D5D5C42"/>
    <w:rsid w:val="1D380E83"/>
    <w:rsid w:val="28A3543A"/>
    <w:rsid w:val="2E8709B7"/>
    <w:rsid w:val="50A5741D"/>
    <w:rsid w:val="57622855"/>
    <w:rsid w:val="67F62E12"/>
    <w:rsid w:val="779368C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qFormat="1" w:uiPriority="99" w:semiHidden="0" w:name="annotation text"/>
    <w:lsdException w:qFormat="1" w:uiPriority="99" w:semiHidden="0" w:name="header"/>
    <w:lsdException w:qFormat="1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qFormat="1"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nhideWhenUsed="0" w:uiPriority="0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qFormat="1"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lang w:val="en-US" w:eastAsia="zh-CN" w:bidi="ar-SA"/>
    </w:rPr>
  </w:style>
  <w:style w:type="paragraph" w:styleId="2">
    <w:name w:val="heading 1"/>
    <w:basedOn w:val="1"/>
    <w:next w:val="1"/>
    <w:link w:val="23"/>
    <w:qFormat/>
    <w:uiPriority w:val="9"/>
    <w:pPr>
      <w:keepNext/>
      <w:keepLines/>
      <w:spacing w:before="480" w:after="80"/>
      <w:outlineLvl w:val="0"/>
    </w:pPr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paragraph" w:styleId="3">
    <w:name w:val="heading 2"/>
    <w:basedOn w:val="1"/>
    <w:next w:val="1"/>
    <w:link w:val="24"/>
    <w:semiHidden/>
    <w:unhideWhenUsed/>
    <w:qFormat/>
    <w:uiPriority w:val="9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paragraph" w:styleId="4">
    <w:name w:val="heading 3"/>
    <w:basedOn w:val="1"/>
    <w:next w:val="1"/>
    <w:link w:val="25"/>
    <w:semiHidden/>
    <w:unhideWhenUsed/>
    <w:qFormat/>
    <w:uiPriority w:val="9"/>
    <w:pPr>
      <w:keepNext/>
      <w:keepLines/>
      <w:spacing w:before="160" w:after="80"/>
      <w:outlineLvl w:val="2"/>
    </w:pPr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paragraph" w:styleId="5">
    <w:name w:val="heading 4"/>
    <w:basedOn w:val="1"/>
    <w:next w:val="1"/>
    <w:link w:val="26"/>
    <w:semiHidden/>
    <w:unhideWhenUsed/>
    <w:qFormat/>
    <w:uiPriority w:val="9"/>
    <w:pPr>
      <w:keepNext/>
      <w:keepLines/>
      <w:spacing w:before="80" w:after="40"/>
      <w:outlineLvl w:val="3"/>
    </w:pPr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paragraph" w:styleId="6">
    <w:name w:val="heading 5"/>
    <w:basedOn w:val="1"/>
    <w:next w:val="1"/>
    <w:link w:val="27"/>
    <w:semiHidden/>
    <w:unhideWhenUsed/>
    <w:qFormat/>
    <w:uiPriority w:val="9"/>
    <w:pPr>
      <w:keepNext/>
      <w:keepLines/>
      <w:spacing w:before="80" w:after="40"/>
      <w:outlineLvl w:val="4"/>
    </w:pPr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paragraph" w:styleId="7">
    <w:name w:val="heading 6"/>
    <w:basedOn w:val="1"/>
    <w:next w:val="1"/>
    <w:link w:val="28"/>
    <w:semiHidden/>
    <w:unhideWhenUsed/>
    <w:qFormat/>
    <w:uiPriority w:val="9"/>
    <w:pPr>
      <w:keepNext/>
      <w:keepLines/>
      <w:spacing w:before="40"/>
      <w:outlineLvl w:val="5"/>
    </w:pPr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paragraph" w:styleId="8">
    <w:name w:val="heading 7"/>
    <w:basedOn w:val="1"/>
    <w:next w:val="1"/>
    <w:link w:val="29"/>
    <w:semiHidden/>
    <w:unhideWhenUsed/>
    <w:qFormat/>
    <w:uiPriority w:val="9"/>
    <w:pPr>
      <w:keepNext/>
      <w:keepLines/>
      <w:spacing w:before="40"/>
      <w:outlineLvl w:val="6"/>
    </w:pPr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9">
    <w:name w:val="heading 8"/>
    <w:basedOn w:val="1"/>
    <w:next w:val="1"/>
    <w:link w:val="30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0">
    <w:name w:val="heading 9"/>
    <w:basedOn w:val="1"/>
    <w:next w:val="1"/>
    <w:link w:val="31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default="1" w:styleId="19">
    <w:name w:val="Default Paragraph Font"/>
    <w:semiHidden/>
    <w:unhideWhenUsed/>
    <w:qFormat/>
    <w:uiPriority w:val="1"/>
  </w:style>
  <w:style w:type="table" w:default="1" w:styleId="18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11">
    <w:name w:val="annotation text"/>
    <w:basedOn w:val="1"/>
    <w:link w:val="42"/>
    <w:unhideWhenUsed/>
    <w:qFormat/>
    <w:uiPriority w:val="99"/>
    <w:pPr>
      <w:jc w:val="left"/>
    </w:pPr>
  </w:style>
  <w:style w:type="paragraph" w:styleId="12">
    <w:name w:val="footer"/>
    <w:basedOn w:val="1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rFonts w:asciiTheme="minorHAnsi" w:hAnsiTheme="minorHAnsi" w:eastAsiaTheme="minorEastAsia" w:cstheme="minorBidi"/>
      <w:sz w:val="18"/>
      <w:szCs w:val="18"/>
    </w:rPr>
  </w:style>
  <w:style w:type="paragraph" w:styleId="13">
    <w:name w:val="header"/>
    <w:basedOn w:val="1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rFonts w:asciiTheme="minorHAnsi" w:hAnsiTheme="minorHAnsi" w:eastAsiaTheme="minorEastAsia" w:cstheme="minorBidi"/>
      <w:sz w:val="18"/>
      <w:szCs w:val="18"/>
    </w:rPr>
  </w:style>
  <w:style w:type="paragraph" w:styleId="14">
    <w:name w:val="Subtitle"/>
    <w:basedOn w:val="1"/>
    <w:next w:val="1"/>
    <w:link w:val="33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15">
    <w:name w:val="Normal (Web)"/>
    <w:basedOn w:val="1"/>
    <w:semiHidden/>
    <w:unhideWhenUsed/>
    <w:qFormat/>
    <w:uiPriority w:val="99"/>
    <w:pPr>
      <w:widowControl/>
      <w:spacing w:before="100" w:beforeAutospacing="1" w:after="100" w:afterAutospacing="1"/>
      <w:jc w:val="left"/>
    </w:pPr>
    <w:rPr>
      <w:rFonts w:ascii="宋体" w:hAnsi="宋体" w:cs="宋体"/>
      <w:kern w:val="0"/>
      <w:sz w:val="24"/>
      <w:szCs w:val="24"/>
    </w:rPr>
  </w:style>
  <w:style w:type="paragraph" w:styleId="16">
    <w:name w:val="Title"/>
    <w:basedOn w:val="1"/>
    <w:next w:val="1"/>
    <w:link w:val="32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17">
    <w:name w:val="annotation subject"/>
    <w:basedOn w:val="11"/>
    <w:next w:val="11"/>
    <w:link w:val="43"/>
    <w:semiHidden/>
    <w:unhideWhenUsed/>
    <w:qFormat/>
    <w:uiPriority w:val="99"/>
    <w:rPr>
      <w:b/>
      <w:bCs/>
    </w:rPr>
  </w:style>
  <w:style w:type="character" w:styleId="20">
    <w:name w:val="Strong"/>
    <w:basedOn w:val="19"/>
    <w:qFormat/>
    <w:uiPriority w:val="22"/>
    <w:rPr>
      <w:b/>
      <w:bCs/>
    </w:rPr>
  </w:style>
  <w:style w:type="character" w:styleId="21">
    <w:name w:val="Hyperlink"/>
    <w:qFormat/>
    <w:uiPriority w:val="0"/>
    <w:rPr>
      <w:color w:val="0000FF"/>
      <w:u w:val="single"/>
    </w:rPr>
  </w:style>
  <w:style w:type="character" w:styleId="22">
    <w:name w:val="annotation reference"/>
    <w:basedOn w:val="19"/>
    <w:semiHidden/>
    <w:unhideWhenUsed/>
    <w:qFormat/>
    <w:uiPriority w:val="99"/>
    <w:rPr>
      <w:sz w:val="21"/>
      <w:szCs w:val="21"/>
    </w:rPr>
  </w:style>
  <w:style w:type="character" w:customStyle="1" w:styleId="23">
    <w:name w:val="标题 1 字符"/>
    <w:basedOn w:val="19"/>
    <w:link w:val="2"/>
    <w:qFormat/>
    <w:uiPriority w:val="9"/>
    <w:rPr>
      <w:rFonts w:asciiTheme="majorHAnsi" w:hAnsiTheme="majorHAnsi" w:eastAsiaTheme="majorEastAsia" w:cstheme="majorBidi"/>
      <w:color w:val="104862" w:themeColor="accent1" w:themeShade="BF"/>
      <w:sz w:val="48"/>
      <w:szCs w:val="48"/>
    </w:rPr>
  </w:style>
  <w:style w:type="character" w:customStyle="1" w:styleId="24">
    <w:name w:val="标题 2 字符"/>
    <w:basedOn w:val="19"/>
    <w:link w:val="3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40"/>
      <w:szCs w:val="40"/>
    </w:rPr>
  </w:style>
  <w:style w:type="character" w:customStyle="1" w:styleId="25">
    <w:name w:val="标题 3 字符"/>
    <w:basedOn w:val="19"/>
    <w:link w:val="4"/>
    <w:semiHidden/>
    <w:qFormat/>
    <w:uiPriority w:val="9"/>
    <w:rPr>
      <w:rFonts w:asciiTheme="majorHAnsi" w:hAnsiTheme="majorHAnsi" w:eastAsiaTheme="majorEastAsia" w:cstheme="majorBidi"/>
      <w:color w:val="104862" w:themeColor="accent1" w:themeShade="BF"/>
      <w:sz w:val="32"/>
      <w:szCs w:val="32"/>
    </w:rPr>
  </w:style>
  <w:style w:type="character" w:customStyle="1" w:styleId="26">
    <w:name w:val="标题 4 字符"/>
    <w:basedOn w:val="19"/>
    <w:link w:val="5"/>
    <w:semiHidden/>
    <w:qFormat/>
    <w:uiPriority w:val="9"/>
    <w:rPr>
      <w:rFonts w:asciiTheme="minorHAnsi" w:hAnsiTheme="minorHAnsi" w:eastAsiaTheme="minorEastAsia" w:cstheme="majorBidi"/>
      <w:color w:val="104862" w:themeColor="accent1" w:themeShade="BF"/>
      <w:sz w:val="28"/>
      <w:szCs w:val="28"/>
    </w:rPr>
  </w:style>
  <w:style w:type="character" w:customStyle="1" w:styleId="27">
    <w:name w:val="标题 5 字符"/>
    <w:basedOn w:val="19"/>
    <w:link w:val="6"/>
    <w:semiHidden/>
    <w:qFormat/>
    <w:uiPriority w:val="9"/>
    <w:rPr>
      <w:rFonts w:asciiTheme="minorHAnsi" w:hAnsiTheme="minorHAnsi" w:eastAsiaTheme="minorEastAsia" w:cstheme="majorBidi"/>
      <w:color w:val="104862" w:themeColor="accent1" w:themeShade="BF"/>
      <w:sz w:val="24"/>
      <w:szCs w:val="24"/>
    </w:rPr>
  </w:style>
  <w:style w:type="character" w:customStyle="1" w:styleId="28">
    <w:name w:val="标题 6 字符"/>
    <w:basedOn w:val="19"/>
    <w:link w:val="7"/>
    <w:semiHidden/>
    <w:qFormat/>
    <w:uiPriority w:val="9"/>
    <w:rPr>
      <w:rFonts w:asciiTheme="minorHAnsi" w:hAnsiTheme="minorHAnsi" w:eastAsiaTheme="minorEastAsia" w:cstheme="majorBidi"/>
      <w:b/>
      <w:bCs/>
      <w:color w:val="104862" w:themeColor="accent1" w:themeShade="BF"/>
    </w:rPr>
  </w:style>
  <w:style w:type="character" w:customStyle="1" w:styleId="29">
    <w:name w:val="标题 7 字符"/>
    <w:basedOn w:val="19"/>
    <w:link w:val="8"/>
    <w:semiHidden/>
    <w:qFormat/>
    <w:uiPriority w:val="9"/>
    <w:rPr>
      <w:rFonts w:asciiTheme="minorHAnsi" w:hAnsiTheme="minorHAnsi" w:eastAsiaTheme="minorEastAsia" w:cstheme="majorBidi"/>
      <w:b/>
      <w:bCs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0">
    <w:name w:val="标题 8 字符"/>
    <w:basedOn w:val="19"/>
    <w:link w:val="9"/>
    <w:semiHidden/>
    <w:qFormat/>
    <w:uiPriority w:val="9"/>
    <w:rPr>
      <w:rFonts w:asciiTheme="minorHAnsi" w:hAnsiTheme="minorHAnsi" w:eastAsiaTheme="min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1">
    <w:name w:val="标题 9 字符"/>
    <w:basedOn w:val="19"/>
    <w:link w:val="10"/>
    <w:semiHidden/>
    <w:qFormat/>
    <w:uiPriority w:val="9"/>
    <w:rPr>
      <w:rFonts w:asciiTheme="minorHAnsi" w:hAnsiTheme="minorHAnsi" w:eastAsiaTheme="majorEastAsia" w:cstheme="majorBidi"/>
      <w:color w:val="595959" w:themeColor="text1" w:themeTint="A6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character" w:customStyle="1" w:styleId="32">
    <w:name w:val="标题 字符"/>
    <w:basedOn w:val="19"/>
    <w:link w:val="16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3">
    <w:name w:val="副标题 字符"/>
    <w:basedOn w:val="19"/>
    <w:link w:val="14"/>
    <w:qFormat/>
    <w:uiPriority w:val="11"/>
    <w:rPr>
      <w:rFonts w:asciiTheme="majorHAnsi" w:hAnsiTheme="majorHAnsi" w:eastAsiaTheme="majorEastAsia" w:cstheme="majorBidi"/>
      <w:color w:val="595959" w:themeColor="text1" w:themeTint="A6"/>
      <w:spacing w:val="15"/>
      <w:sz w:val="28"/>
      <w:szCs w:val="28"/>
      <w14:textFill>
        <w14:solidFill>
          <w14:schemeClr w14:val="tx1">
            <w14:lumMod w14:val="65000"/>
            <w14:lumOff w14:val="35000"/>
          </w14:schemeClr>
        </w14:solidFill>
      </w14:textFill>
    </w:rPr>
  </w:style>
  <w:style w:type="paragraph" w:styleId="34">
    <w:name w:val="Quote"/>
    <w:basedOn w:val="1"/>
    <w:next w:val="1"/>
    <w:link w:val="35"/>
    <w:qFormat/>
    <w:uiPriority w:val="29"/>
    <w:pPr>
      <w:spacing w:before="160" w:after="160"/>
      <w:jc w:val="center"/>
    </w:pPr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character" w:customStyle="1" w:styleId="35">
    <w:name w:val="引用 字符"/>
    <w:basedOn w:val="19"/>
    <w:link w:val="34"/>
    <w:qFormat/>
    <w:uiPriority w:val="29"/>
    <w:rPr>
      <w:i/>
      <w:iCs/>
      <w:color w:val="404040" w:themeColor="text1" w:themeTint="BF"/>
      <w14:textFill>
        <w14:solidFill>
          <w14:schemeClr w14:val="tx1">
            <w14:lumMod w14:val="75000"/>
            <w14:lumOff w14:val="25000"/>
          </w14:schemeClr>
        </w14:solidFill>
      </w14:textFill>
    </w:rPr>
  </w:style>
  <w:style w:type="paragraph" w:styleId="36">
    <w:name w:val="List Paragraph"/>
    <w:basedOn w:val="1"/>
    <w:qFormat/>
    <w:uiPriority w:val="34"/>
    <w:pPr>
      <w:ind w:left="720"/>
      <w:contextualSpacing/>
    </w:pPr>
  </w:style>
  <w:style w:type="character" w:customStyle="1" w:styleId="37">
    <w:name w:val="明显强调1"/>
    <w:basedOn w:val="19"/>
    <w:qFormat/>
    <w:uiPriority w:val="21"/>
    <w:rPr>
      <w:i/>
      <w:iCs/>
      <w:color w:val="104862" w:themeColor="accent1" w:themeShade="BF"/>
    </w:rPr>
  </w:style>
  <w:style w:type="paragraph" w:styleId="38">
    <w:name w:val="Intense Quote"/>
    <w:basedOn w:val="1"/>
    <w:next w:val="1"/>
    <w:link w:val="39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104862" w:themeColor="accent1" w:themeShade="BF"/>
    </w:rPr>
  </w:style>
  <w:style w:type="character" w:customStyle="1" w:styleId="39">
    <w:name w:val="明显引用 字符"/>
    <w:basedOn w:val="19"/>
    <w:link w:val="38"/>
    <w:qFormat/>
    <w:uiPriority w:val="30"/>
    <w:rPr>
      <w:i/>
      <w:iCs/>
      <w:color w:val="104862" w:themeColor="accent1" w:themeShade="BF"/>
    </w:rPr>
  </w:style>
  <w:style w:type="character" w:customStyle="1" w:styleId="40">
    <w:name w:val="明显参考1"/>
    <w:basedOn w:val="19"/>
    <w:qFormat/>
    <w:uiPriority w:val="32"/>
    <w:rPr>
      <w:b/>
      <w:bCs/>
      <w:smallCaps/>
      <w:color w:val="104862" w:themeColor="accent1" w:themeShade="BF"/>
      <w:spacing w:val="5"/>
    </w:rPr>
  </w:style>
  <w:style w:type="character" w:customStyle="1" w:styleId="41">
    <w:name w:val="font111"/>
    <w:qFormat/>
    <w:uiPriority w:val="0"/>
    <w:rPr>
      <w:rFonts w:hint="eastAsia" w:ascii="黑体" w:hAnsi="宋体" w:eastAsia="黑体" w:cs="黑体"/>
      <w:i/>
      <w:iCs/>
      <w:color w:val="000000"/>
      <w:sz w:val="20"/>
      <w:szCs w:val="20"/>
      <w:u w:val="none"/>
    </w:rPr>
  </w:style>
  <w:style w:type="character" w:customStyle="1" w:styleId="42">
    <w:name w:val="批注文字 字符"/>
    <w:basedOn w:val="19"/>
    <w:link w:val="11"/>
    <w:qFormat/>
    <w:uiPriority w:val="99"/>
    <w:rPr>
      <w:rFonts w:cs="Times New Roman"/>
      <w:sz w:val="21"/>
      <w:szCs w:val="20"/>
      <w14:ligatures w14:val="none"/>
    </w:rPr>
  </w:style>
  <w:style w:type="character" w:customStyle="1" w:styleId="43">
    <w:name w:val="批注主题 字符"/>
    <w:basedOn w:val="42"/>
    <w:link w:val="17"/>
    <w:semiHidden/>
    <w:qFormat/>
    <w:uiPriority w:val="99"/>
    <w:rPr>
      <w:rFonts w:cs="Times New Roman"/>
      <w:b/>
      <w:bCs/>
      <w:sz w:val="21"/>
      <w:szCs w:val="20"/>
      <w14:ligatures w14:val="none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3</Pages>
  <Words>396</Words>
  <Characters>2261</Characters>
  <Lines>18</Lines>
  <Paragraphs>5</Paragraphs>
  <TotalTime>65</TotalTime>
  <ScaleCrop>false</ScaleCrop>
  <LinksUpToDate>false</LinksUpToDate>
  <CharactersWithSpaces>2652</CharactersWithSpaces>
  <Application>WPS Office_11.1.0.9828_F1E327BC-269C-435d-A152-05C5408002CA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2025-10-11T01:42:00Z</dcterms:created>
  <dc:creator>Xiaonan Wu</dc:creator>
  <cp:lastModifiedBy>DOCTOR</cp:lastModifiedBy>
  <cp:lastPrinted>2025-10-11T01:41:00Z</cp:lastPrinted>
  <dcterms:modified xsi:type="dcterms:W3CDTF">2025-11-25T00:06:53Z</dcterms:modified>
  <cp:revision>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2052-11.1.0.9828</vt:lpwstr>
  </property>
  <property fmtid="{D5CDD505-2E9C-101B-9397-08002B2CF9AE}" pid="3" name="ICV">
    <vt:lpwstr>47D37127BE024EA8B21BB302B9101A3D_13</vt:lpwstr>
  </property>
  <property fmtid="{D5CDD505-2E9C-101B-9397-08002B2CF9AE}" pid="4" name="KSOTemplateDocerSaveRecord">
    <vt:lpwstr>eyJoZGlkIjoiMjhjOWRiZDQ5NWIxN2U3MWJhZjYxZmEwZDhlYWJkMjkiLCJ1c2VySWQiOiIyMzkyMTI0MDIifQ==</vt:lpwstr>
  </property>
</Properties>
</file>