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adjustRightInd w:val="0"/>
        <w:snapToGrid w:val="0"/>
        <w:spacing w:line="560" w:lineRule="exact"/>
        <w:jc w:val="center"/>
        <w:rPr>
          <w:b w:val="0"/>
          <w:szCs w:val="44"/>
          <w:lang w:val="zh-CN"/>
        </w:rPr>
      </w:pPr>
      <w:bookmarkStart w:id="0" w:name="_Toc112768491"/>
      <w:bookmarkStart w:id="1" w:name="_Toc32050"/>
      <w:bookmarkStart w:id="2" w:name="_Toc30564"/>
      <w:bookmarkStart w:id="3" w:name="_Toc9692"/>
      <w:bookmarkStart w:id="4" w:name="_Toc132186973"/>
      <w:bookmarkStart w:id="5" w:name="_Toc152058289"/>
      <w:bookmarkStart w:id="6" w:name="_Toc112317781"/>
      <w:bookmarkStart w:id="7" w:name="_Toc130888005"/>
      <w:bookmarkStart w:id="8" w:name="_Toc21632"/>
      <w:bookmarkStart w:id="9" w:name="_Toc130661176"/>
      <w:bookmarkStart w:id="10" w:name="_Toc150421246"/>
      <w:bookmarkStart w:id="11" w:name="_Toc132191257"/>
      <w:bookmarkStart w:id="12" w:name="_Toc28545"/>
      <w:bookmarkStart w:id="13" w:name="_Toc128154366"/>
      <w:bookmarkStart w:id="14" w:name="_Toc128470293"/>
      <w:r>
        <w:rPr>
          <w:rFonts w:hint="eastAsia"/>
          <w:b w:val="0"/>
          <w:szCs w:val="44"/>
          <w:lang w:val="zh-CN"/>
        </w:rPr>
        <w:t>第六章</w:t>
      </w:r>
      <w:r>
        <w:rPr>
          <w:b w:val="0"/>
          <w:szCs w:val="44"/>
          <w:lang w:val="zh-CN"/>
        </w:rPr>
        <w:t xml:space="preserve"> </w:t>
      </w:r>
      <w:r>
        <w:rPr>
          <w:rFonts w:hint="eastAsia"/>
          <w:b w:val="0"/>
          <w:szCs w:val="44"/>
          <w:lang w:val="zh-CN"/>
        </w:rPr>
        <w:t>采购项目商务和技术要求</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pPr>
        <w:pStyle w:val="4"/>
        <w:spacing w:before="0" w:after="0" w:line="560" w:lineRule="exact"/>
        <w:ind w:firstLine="560" w:firstLineChars="200"/>
        <w:rPr>
          <w:rFonts w:hint="eastAsia" w:ascii="黑体" w:hAnsi="黑体" w:cs="黑体"/>
          <w:b w:val="0"/>
          <w:sz w:val="28"/>
          <w:szCs w:val="28"/>
        </w:rPr>
      </w:pPr>
      <w:bookmarkStart w:id="15" w:name="_Toc14060"/>
      <w:bookmarkStart w:id="16" w:name="_Toc128470294"/>
      <w:bookmarkStart w:id="17" w:name="_Toc150421247"/>
      <w:bookmarkStart w:id="18" w:name="_Toc112681847"/>
      <w:bookmarkStart w:id="19" w:name="_Toc22203"/>
      <w:bookmarkStart w:id="20" w:name="_Toc32238"/>
      <w:bookmarkStart w:id="21" w:name="_Toc112768493"/>
      <w:bookmarkStart w:id="22" w:name="_Toc152058290"/>
      <w:bookmarkStart w:id="23" w:name="_Toc132191258"/>
      <w:bookmarkStart w:id="24" w:name="_Toc13168"/>
      <w:bookmarkStart w:id="25" w:name="_Toc22977"/>
      <w:bookmarkStart w:id="26" w:name="_Toc132186974"/>
      <w:bookmarkStart w:id="27" w:name="_Toc128154367"/>
      <w:bookmarkStart w:id="28" w:name="_Toc130888006"/>
      <w:bookmarkStart w:id="29" w:name="_Toc285612596"/>
      <w:r>
        <w:rPr>
          <w:rFonts w:hint="eastAsia" w:ascii="黑体" w:hAnsi="黑体" w:cs="黑体"/>
          <w:b w:val="0"/>
          <w:sz w:val="28"/>
          <w:szCs w:val="28"/>
        </w:rPr>
        <w:t>一、商务要求</w:t>
      </w:r>
      <w:bookmarkEnd w:id="15"/>
      <w:bookmarkEnd w:id="16"/>
      <w:bookmarkEnd w:id="17"/>
      <w:bookmarkEnd w:id="18"/>
      <w:bookmarkEnd w:id="19"/>
      <w:bookmarkEnd w:id="20"/>
      <w:bookmarkEnd w:id="21"/>
      <w:bookmarkEnd w:id="22"/>
      <w:bookmarkEnd w:id="23"/>
      <w:bookmarkEnd w:id="24"/>
      <w:bookmarkEnd w:id="25"/>
      <w:bookmarkEnd w:id="26"/>
      <w:bookmarkEnd w:id="27"/>
      <w:bookmarkEnd w:id="28"/>
    </w:p>
    <w:tbl>
      <w:tblPr>
        <w:tblStyle w:val="7"/>
        <w:tblpPr w:leftFromText="180" w:rightFromText="180" w:vertAnchor="text" w:horzAnchor="page" w:tblpX="1622" w:tblpY="82"/>
        <w:tblOverlap w:val="never"/>
        <w:tblW w:w="9060" w:type="dxa"/>
        <w:tblInd w:w="0" w:type="dxa"/>
        <w:tblLayout w:type="fixed"/>
        <w:tblCellMar>
          <w:top w:w="0" w:type="dxa"/>
          <w:left w:w="108" w:type="dxa"/>
          <w:bottom w:w="0" w:type="dxa"/>
          <w:right w:w="108" w:type="dxa"/>
        </w:tblCellMar>
      </w:tblPr>
      <w:tblGrid>
        <w:gridCol w:w="501"/>
        <w:gridCol w:w="1389"/>
        <w:gridCol w:w="720"/>
        <w:gridCol w:w="4493"/>
        <w:gridCol w:w="727"/>
        <w:gridCol w:w="1230"/>
      </w:tblGrid>
      <w:tr>
        <w:tblPrEx>
          <w:tblLayout w:type="fixed"/>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序号</w:t>
            </w:r>
          </w:p>
        </w:tc>
        <w:tc>
          <w:tcPr>
            <w:tcW w:w="13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需求名称</w:t>
            </w:r>
          </w:p>
        </w:tc>
        <w:tc>
          <w:tcPr>
            <w:tcW w:w="7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参数</w:t>
            </w:r>
          </w:p>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性质</w:t>
            </w:r>
          </w:p>
        </w:tc>
        <w:tc>
          <w:tcPr>
            <w:tcW w:w="449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需求具体内容</w:t>
            </w:r>
          </w:p>
        </w:tc>
        <w:tc>
          <w:tcPr>
            <w:tcW w:w="72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是否</w:t>
            </w:r>
          </w:p>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量化</w:t>
            </w:r>
          </w:p>
        </w:tc>
        <w:tc>
          <w:tcPr>
            <w:tcW w:w="12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备注（证明材料等其他要求）</w:t>
            </w:r>
          </w:p>
        </w:tc>
      </w:tr>
      <w:tr>
        <w:tblPrEx>
          <w:tblLayout w:type="fixed"/>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1</w:t>
            </w:r>
          </w:p>
        </w:tc>
        <w:tc>
          <w:tcPr>
            <w:tcW w:w="13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交货时间、交货地点</w:t>
            </w:r>
          </w:p>
        </w:tc>
        <w:tc>
          <w:tcPr>
            <w:tcW w:w="7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w:t>
            </w:r>
          </w:p>
        </w:tc>
        <w:tc>
          <w:tcPr>
            <w:tcW w:w="449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合同签订后3个月内交付，交付地点由甲方指定。</w:t>
            </w:r>
          </w:p>
        </w:tc>
        <w:tc>
          <w:tcPr>
            <w:tcW w:w="72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企业承诺</w:t>
            </w:r>
          </w:p>
        </w:tc>
      </w:tr>
      <w:tr>
        <w:tblPrEx>
          <w:tblLayout w:type="fixed"/>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2</w:t>
            </w:r>
          </w:p>
        </w:tc>
        <w:tc>
          <w:tcPr>
            <w:tcW w:w="13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付款及结算方式</w:t>
            </w:r>
          </w:p>
        </w:tc>
        <w:tc>
          <w:tcPr>
            <w:tcW w:w="7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w:t>
            </w:r>
          </w:p>
        </w:tc>
        <w:tc>
          <w:tcPr>
            <w:tcW w:w="449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物资到货（服务完成）验收后付95%。</w:t>
            </w:r>
          </w:p>
        </w:tc>
        <w:tc>
          <w:tcPr>
            <w:tcW w:w="72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企业承诺</w:t>
            </w:r>
          </w:p>
        </w:tc>
      </w:tr>
      <w:tr>
        <w:tblPrEx>
          <w:tblLayout w:type="fixed"/>
          <w:tblCellMar>
            <w:top w:w="0" w:type="dxa"/>
            <w:left w:w="108" w:type="dxa"/>
            <w:bottom w:w="0" w:type="dxa"/>
            <w:right w:w="108" w:type="dxa"/>
          </w:tblCellMar>
        </w:tblPrEx>
        <w:trPr>
          <w:trHeight w:val="454"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3</w:t>
            </w:r>
          </w:p>
        </w:tc>
        <w:tc>
          <w:tcPr>
            <w:tcW w:w="13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履约保证金/质量保证金</w:t>
            </w:r>
          </w:p>
        </w:tc>
        <w:tc>
          <w:tcPr>
            <w:tcW w:w="7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w:t>
            </w:r>
          </w:p>
        </w:tc>
        <w:tc>
          <w:tcPr>
            <w:tcW w:w="449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质保期满后无质量问题支付剩余5%（不超过5%）</w:t>
            </w:r>
          </w:p>
        </w:tc>
        <w:tc>
          <w:tcPr>
            <w:tcW w:w="72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企业承诺</w:t>
            </w:r>
          </w:p>
        </w:tc>
      </w:tr>
      <w:tr>
        <w:tblPrEx>
          <w:tblLayout w:type="fixed"/>
          <w:tblCellMar>
            <w:top w:w="0" w:type="dxa"/>
            <w:left w:w="108" w:type="dxa"/>
            <w:bottom w:w="0" w:type="dxa"/>
            <w:right w:w="108" w:type="dxa"/>
          </w:tblCellMar>
        </w:tblPrEx>
        <w:trPr>
          <w:trHeight w:val="454"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4</w:t>
            </w:r>
          </w:p>
        </w:tc>
        <w:tc>
          <w:tcPr>
            <w:tcW w:w="13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产品包装和运输要求</w:t>
            </w:r>
          </w:p>
        </w:tc>
        <w:tc>
          <w:tcPr>
            <w:tcW w:w="7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w:t>
            </w:r>
          </w:p>
        </w:tc>
        <w:tc>
          <w:tcPr>
            <w:tcW w:w="449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按照国家、行业相关标准规范，产品确保包装完好，运输确保不对产品造成损伤。</w:t>
            </w:r>
          </w:p>
        </w:tc>
        <w:tc>
          <w:tcPr>
            <w:tcW w:w="72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企业承诺</w:t>
            </w:r>
          </w:p>
        </w:tc>
      </w:tr>
      <w:tr>
        <w:tblPrEx>
          <w:tblLayout w:type="fixed"/>
          <w:tblCellMar>
            <w:top w:w="0" w:type="dxa"/>
            <w:left w:w="108" w:type="dxa"/>
            <w:bottom w:w="0" w:type="dxa"/>
            <w:right w:w="108" w:type="dxa"/>
          </w:tblCellMar>
        </w:tblPrEx>
        <w:trPr>
          <w:trHeight w:val="454"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5</w:t>
            </w:r>
          </w:p>
        </w:tc>
        <w:tc>
          <w:tcPr>
            <w:tcW w:w="13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售后服务1</w:t>
            </w:r>
          </w:p>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（质保）</w:t>
            </w:r>
          </w:p>
        </w:tc>
        <w:tc>
          <w:tcPr>
            <w:tcW w:w="7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w:t>
            </w:r>
          </w:p>
        </w:tc>
        <w:tc>
          <w:tcPr>
            <w:tcW w:w="449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整机保修年限不低于3年，全年故障停机时间不高于5%（按365日/年计算)。</w:t>
            </w:r>
          </w:p>
        </w:tc>
        <w:tc>
          <w:tcPr>
            <w:tcW w:w="72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原厂授权（企业承诺）</w:t>
            </w:r>
          </w:p>
        </w:tc>
      </w:tr>
      <w:tr>
        <w:tblPrEx>
          <w:tblLayout w:type="fixed"/>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6</w:t>
            </w:r>
          </w:p>
        </w:tc>
        <w:tc>
          <w:tcPr>
            <w:tcW w:w="13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售后服务2</w:t>
            </w:r>
          </w:p>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（质保）</w:t>
            </w:r>
          </w:p>
        </w:tc>
        <w:tc>
          <w:tcPr>
            <w:tcW w:w="7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w:t>
            </w:r>
          </w:p>
        </w:tc>
        <w:tc>
          <w:tcPr>
            <w:tcW w:w="449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保修期内免费提供定期维护保养服务，免费升级和维护软件，免费提供使用培训。</w:t>
            </w:r>
          </w:p>
        </w:tc>
        <w:tc>
          <w:tcPr>
            <w:tcW w:w="72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企业承诺</w:t>
            </w:r>
          </w:p>
        </w:tc>
      </w:tr>
      <w:tr>
        <w:tblPrEx>
          <w:tblLayout w:type="fixed"/>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7</w:t>
            </w:r>
          </w:p>
        </w:tc>
        <w:tc>
          <w:tcPr>
            <w:tcW w:w="13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售后服务3</w:t>
            </w:r>
          </w:p>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（质保）</w:t>
            </w:r>
          </w:p>
        </w:tc>
        <w:tc>
          <w:tcPr>
            <w:tcW w:w="7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w:t>
            </w:r>
          </w:p>
        </w:tc>
        <w:tc>
          <w:tcPr>
            <w:tcW w:w="449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提供不少于4人次、2天的工程师维修培训。</w:t>
            </w:r>
          </w:p>
        </w:tc>
        <w:tc>
          <w:tcPr>
            <w:tcW w:w="72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企业承诺</w:t>
            </w:r>
          </w:p>
        </w:tc>
      </w:tr>
      <w:tr>
        <w:tblPrEx>
          <w:tblLayout w:type="fixed"/>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8</w:t>
            </w:r>
          </w:p>
        </w:tc>
        <w:tc>
          <w:tcPr>
            <w:tcW w:w="13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售后服务4</w:t>
            </w:r>
          </w:p>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（响应时间）</w:t>
            </w:r>
          </w:p>
        </w:tc>
        <w:tc>
          <w:tcPr>
            <w:tcW w:w="7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w:t>
            </w:r>
          </w:p>
        </w:tc>
        <w:tc>
          <w:tcPr>
            <w:tcW w:w="449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维修响应时间≤8小时，维修到达现场时间≤12小时。</w:t>
            </w:r>
          </w:p>
        </w:tc>
        <w:tc>
          <w:tcPr>
            <w:tcW w:w="72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企业承诺</w:t>
            </w:r>
          </w:p>
        </w:tc>
      </w:tr>
      <w:tr>
        <w:tblPrEx>
          <w:tblLayout w:type="fixed"/>
          <w:tblCellMar>
            <w:top w:w="0" w:type="dxa"/>
            <w:left w:w="108" w:type="dxa"/>
            <w:bottom w:w="0" w:type="dxa"/>
            <w:right w:w="108" w:type="dxa"/>
          </w:tblCellMar>
        </w:tblPrEx>
        <w:trPr>
          <w:trHeight w:val="72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9</w:t>
            </w:r>
          </w:p>
        </w:tc>
        <w:tc>
          <w:tcPr>
            <w:tcW w:w="13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备品备件要求（零配件）</w:t>
            </w:r>
          </w:p>
        </w:tc>
        <w:tc>
          <w:tcPr>
            <w:tcW w:w="7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w:t>
            </w:r>
          </w:p>
        </w:tc>
        <w:tc>
          <w:tcPr>
            <w:tcW w:w="449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由供应商承诺项目使用寿命周期内保证零配件供应。</w:t>
            </w:r>
          </w:p>
        </w:tc>
        <w:tc>
          <w:tcPr>
            <w:tcW w:w="72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企业承诺</w:t>
            </w:r>
          </w:p>
        </w:tc>
      </w:tr>
      <w:tr>
        <w:tblPrEx>
          <w:tblLayout w:type="fixed"/>
          <w:tblCellMar>
            <w:top w:w="0" w:type="dxa"/>
            <w:left w:w="108" w:type="dxa"/>
            <w:bottom w:w="0" w:type="dxa"/>
            <w:right w:w="108" w:type="dxa"/>
          </w:tblCellMar>
        </w:tblPrEx>
        <w:trPr>
          <w:trHeight w:val="72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10</w:t>
            </w:r>
          </w:p>
        </w:tc>
        <w:tc>
          <w:tcPr>
            <w:tcW w:w="13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物资编目编码、打码贴签要求</w:t>
            </w:r>
          </w:p>
        </w:tc>
        <w:tc>
          <w:tcPr>
            <w:tcW w:w="7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w:t>
            </w:r>
          </w:p>
        </w:tc>
        <w:tc>
          <w:tcPr>
            <w:tcW w:w="449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本项目对物资的编目编码、打码贴签要求，报价供应商应当予以明确响应，相关费用包含在报价中。</w:t>
            </w:r>
          </w:p>
        </w:tc>
        <w:tc>
          <w:tcPr>
            <w:tcW w:w="72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企业承诺</w:t>
            </w:r>
          </w:p>
        </w:tc>
      </w:tr>
      <w:tr>
        <w:tblPrEx>
          <w:tblLayout w:type="fixed"/>
          <w:tblCellMar>
            <w:top w:w="0" w:type="dxa"/>
            <w:left w:w="108" w:type="dxa"/>
            <w:bottom w:w="0" w:type="dxa"/>
            <w:right w:w="108" w:type="dxa"/>
          </w:tblCellMar>
        </w:tblPrEx>
        <w:trPr>
          <w:trHeight w:val="72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11</w:t>
            </w:r>
          </w:p>
        </w:tc>
        <w:tc>
          <w:tcPr>
            <w:tcW w:w="13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知识产权</w:t>
            </w:r>
          </w:p>
        </w:tc>
        <w:tc>
          <w:tcPr>
            <w:tcW w:w="7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w:t>
            </w:r>
          </w:p>
        </w:tc>
        <w:tc>
          <w:tcPr>
            <w:tcW w:w="449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报价供应商应当保证采购单位在使用该物资或其任何一部分时，不受第三方侵权指控。同时，报价供应商不得向第三方泄露采购机构提供的技术文件等材料。 基于项目合同履行形成的知识产权和其他权益，其权属归采购单位所有，法律另有规定的除外</w:t>
            </w:r>
          </w:p>
        </w:tc>
        <w:tc>
          <w:tcPr>
            <w:tcW w:w="72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企业承诺</w:t>
            </w:r>
          </w:p>
        </w:tc>
      </w:tr>
    </w:tbl>
    <w:p>
      <w:pPr>
        <w:rPr>
          <w:rFonts w:hint="eastAsia"/>
        </w:rPr>
      </w:pPr>
    </w:p>
    <w:p>
      <w:pPr>
        <w:pStyle w:val="5"/>
        <w:rPr>
          <w:rFonts w:hint="eastAsia"/>
        </w:rPr>
      </w:pPr>
    </w:p>
    <w:bookmarkEnd w:id="29"/>
    <w:p>
      <w:pPr>
        <w:pStyle w:val="4"/>
        <w:numPr>
          <w:ilvl w:val="0"/>
          <w:numId w:val="1"/>
        </w:numPr>
        <w:spacing w:before="0" w:after="0" w:line="560" w:lineRule="exact"/>
        <w:ind w:firstLine="560" w:firstLineChars="200"/>
        <w:rPr>
          <w:rFonts w:hint="eastAsia" w:ascii="黑体" w:hAnsi="黑体" w:cs="黑体"/>
          <w:b w:val="0"/>
          <w:sz w:val="28"/>
          <w:szCs w:val="28"/>
        </w:rPr>
      </w:pPr>
      <w:bookmarkStart w:id="30" w:name="_Toc128150778"/>
      <w:bookmarkStart w:id="31" w:name="_Toc132190634"/>
      <w:bookmarkStart w:id="32" w:name="_Toc128151027"/>
      <w:bookmarkStart w:id="33" w:name="_Toc128150134"/>
      <w:bookmarkStart w:id="34" w:name="_Toc127820564"/>
      <w:bookmarkStart w:id="35" w:name="_Toc128397970"/>
      <w:bookmarkStart w:id="36" w:name="_Toc152057837"/>
      <w:bookmarkStart w:id="37" w:name="_Toc150418428"/>
      <w:bookmarkStart w:id="38" w:name="_Toc130887500"/>
      <w:r>
        <w:rPr>
          <w:rFonts w:hint="eastAsia" w:ascii="黑体" w:hAnsi="黑体" w:cs="黑体"/>
          <w:b w:val="0"/>
          <w:sz w:val="28"/>
          <w:szCs w:val="28"/>
        </w:rPr>
        <w:t>技术要求</w:t>
      </w:r>
      <w:bookmarkEnd w:id="30"/>
      <w:bookmarkEnd w:id="31"/>
      <w:bookmarkEnd w:id="32"/>
      <w:bookmarkEnd w:id="33"/>
      <w:bookmarkEnd w:id="34"/>
      <w:bookmarkEnd w:id="35"/>
      <w:bookmarkEnd w:id="36"/>
      <w:bookmarkEnd w:id="37"/>
      <w:bookmarkEnd w:id="38"/>
    </w:p>
    <w:tbl>
      <w:tblPr>
        <w:tblStyle w:val="7"/>
        <w:tblpPr w:leftFromText="180" w:rightFromText="180" w:vertAnchor="text" w:horzAnchor="page" w:tblpX="1562" w:tblpY="807"/>
        <w:tblOverlap w:val="never"/>
        <w:tblW w:w="9060" w:type="dxa"/>
        <w:tblInd w:w="0" w:type="dxa"/>
        <w:tblLayout w:type="fixed"/>
        <w:tblCellMar>
          <w:top w:w="0" w:type="dxa"/>
          <w:left w:w="108" w:type="dxa"/>
          <w:bottom w:w="0" w:type="dxa"/>
          <w:right w:w="108" w:type="dxa"/>
        </w:tblCellMar>
      </w:tblPr>
      <w:tblGrid>
        <w:gridCol w:w="501"/>
        <w:gridCol w:w="669"/>
        <w:gridCol w:w="720"/>
        <w:gridCol w:w="720"/>
        <w:gridCol w:w="213"/>
        <w:gridCol w:w="1323"/>
        <w:gridCol w:w="1749"/>
        <w:gridCol w:w="1208"/>
        <w:gridCol w:w="727"/>
        <w:gridCol w:w="1230"/>
      </w:tblGrid>
      <w:tr>
        <w:tblPrEx>
          <w:tblLayout w:type="fixed"/>
          <w:tblCellMar>
            <w:top w:w="0" w:type="dxa"/>
            <w:left w:w="108" w:type="dxa"/>
            <w:bottom w:w="0" w:type="dxa"/>
            <w:right w:w="108" w:type="dxa"/>
          </w:tblCellMar>
        </w:tblPrEx>
        <w:trPr>
          <w:trHeight w:val="500" w:hRule="atLeast"/>
        </w:trPr>
        <w:tc>
          <w:tcPr>
            <w:tcW w:w="11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项目编号</w:t>
            </w:r>
          </w:p>
        </w:tc>
        <w:tc>
          <w:tcPr>
            <w:tcW w:w="1653" w:type="dxa"/>
            <w:gridSpan w:val="3"/>
            <w:tcBorders>
              <w:top w:val="single" w:color="000000" w:sz="4" w:space="0"/>
              <w:left w:val="single" w:color="000000" w:sz="4" w:space="0"/>
              <w:bottom w:val="single" w:color="000000" w:sz="4" w:space="0"/>
              <w:right w:val="nil"/>
            </w:tcBorders>
            <w:vAlign w:val="center"/>
          </w:tcPr>
          <w:p>
            <w:pPr>
              <w:widowControl/>
              <w:spacing w:line="240" w:lineRule="exact"/>
              <w:jc w:val="center"/>
              <w:rPr>
                <w:rFonts w:hint="eastAsia" w:ascii="黑体" w:hAnsi="宋体" w:eastAsia="黑体" w:cs="黑体"/>
                <w:sz w:val="20"/>
              </w:rPr>
            </w:pPr>
            <w:r>
              <w:rPr>
                <w:rFonts w:hint="eastAsia" w:ascii="黑体" w:hAnsi="宋体" w:eastAsia="黑体" w:cs="黑体"/>
                <w:sz w:val="18"/>
                <w:szCs w:val="18"/>
              </w:rPr>
              <w:t>2025-JQ06-W3551</w:t>
            </w:r>
          </w:p>
        </w:tc>
        <w:tc>
          <w:tcPr>
            <w:tcW w:w="1323" w:type="dxa"/>
            <w:tcBorders>
              <w:top w:val="single" w:color="000000" w:sz="4" w:space="0"/>
              <w:left w:val="single" w:color="000000" w:sz="4" w:space="0"/>
              <w:bottom w:val="nil"/>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项目名称</w:t>
            </w:r>
          </w:p>
        </w:tc>
        <w:tc>
          <w:tcPr>
            <w:tcW w:w="1749"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黑体" w:hAnsi="宋体" w:eastAsia="黑体" w:cs="黑体"/>
                <w:sz w:val="20"/>
              </w:rPr>
            </w:pPr>
            <w:r>
              <w:rPr>
                <w:rFonts w:hint="eastAsia" w:ascii="黑体" w:hAnsi="宋体" w:eastAsia="黑体" w:cs="黑体"/>
                <w:sz w:val="20"/>
              </w:rPr>
              <w:t>倒置荧光显微镜</w:t>
            </w:r>
          </w:p>
        </w:tc>
        <w:tc>
          <w:tcPr>
            <w:tcW w:w="1208"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最高限价（万元）</w:t>
            </w:r>
          </w:p>
        </w:tc>
        <w:tc>
          <w:tcPr>
            <w:tcW w:w="1957"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黑体" w:hAnsi="宋体" w:eastAsia="黑体" w:cs="黑体"/>
                <w:sz w:val="20"/>
              </w:rPr>
            </w:pPr>
            <w:r>
              <w:rPr>
                <w:rFonts w:hint="eastAsia" w:ascii="黑体" w:hAnsi="宋体" w:eastAsia="黑体" w:cs="黑体"/>
                <w:sz w:val="20"/>
              </w:rPr>
              <w:t>40</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序号</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需求名称</w:t>
            </w:r>
          </w:p>
        </w:tc>
        <w:tc>
          <w:tcPr>
            <w:tcW w:w="93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参数</w:t>
            </w:r>
          </w:p>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性质</w:t>
            </w:r>
          </w:p>
        </w:tc>
        <w:tc>
          <w:tcPr>
            <w:tcW w:w="4280"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需求具体内容</w:t>
            </w:r>
          </w:p>
        </w:tc>
        <w:tc>
          <w:tcPr>
            <w:tcW w:w="727" w:type="dxa"/>
            <w:tcBorders>
              <w:top w:val="single" w:color="000000" w:sz="4" w:space="0"/>
              <w:left w:val="single" w:color="000000" w:sz="4" w:space="0"/>
              <w:bottom w:val="nil"/>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是否</w:t>
            </w:r>
          </w:p>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量化</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备注（证明材料等其他要求）</w:t>
            </w:r>
          </w:p>
        </w:tc>
      </w:tr>
      <w:tr>
        <w:tblPrEx>
          <w:tblLayout w:type="fixed"/>
          <w:tblCellMar>
            <w:top w:w="0" w:type="dxa"/>
            <w:left w:w="108" w:type="dxa"/>
            <w:bottom w:w="0" w:type="dxa"/>
            <w:right w:w="108" w:type="dxa"/>
          </w:tblCellMar>
        </w:tblPrEx>
        <w:trPr>
          <w:trHeight w:val="500" w:hRule="atLeast"/>
        </w:trPr>
        <w:tc>
          <w:tcPr>
            <w:tcW w:w="9060"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技术要求</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kern w:val="0"/>
                <w:sz w:val="20"/>
                <w:lang w:bidi="ar"/>
              </w:rPr>
              <w:t>1</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基本要求</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sz w:val="20"/>
              </w:rPr>
            </w:pPr>
            <w:r>
              <w:rPr>
                <w:rFonts w:hint="eastAsia" w:ascii="黑体" w:hAnsi="宋体" w:eastAsia="黑体" w:cs="黑体"/>
                <w:kern w:val="0"/>
                <w:sz w:val="20"/>
                <w:lang w:bidi="ar"/>
              </w:rPr>
              <w:t>具备明场、浮雕相衬、相差及荧光观察方法，可观察多孔板、培养皿、培养瓶以及玻片等样品，用于细胞生长状态、细胞变化等细胞学研究。</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sz w:val="20"/>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相关证明材料</w:t>
            </w:r>
          </w:p>
        </w:tc>
      </w:tr>
      <w:tr>
        <w:tblPrEx>
          <w:tblLayout w:type="fixed"/>
          <w:tblCellMar>
            <w:top w:w="0" w:type="dxa"/>
            <w:left w:w="108" w:type="dxa"/>
            <w:bottom w:w="0" w:type="dxa"/>
            <w:right w:w="108" w:type="dxa"/>
          </w:tblCellMar>
        </w:tblPrEx>
        <w:trPr>
          <w:trHeight w:val="92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kern w:val="0"/>
                <w:sz w:val="20"/>
                <w:lang w:bidi="ar"/>
              </w:rPr>
              <w:t>2</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标准规范</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第一类医疗器械产品备案凭证</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sz w:val="20"/>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sz w:val="20"/>
              </w:rPr>
              <w:t>证书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kern w:val="0"/>
                <w:sz w:val="20"/>
                <w:lang w:bidi="ar"/>
              </w:rPr>
              <w:t>3</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主机</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采用无限远校正光学系统，齐焦距离≤50mm。</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sz w:val="20"/>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相关证明材料</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kern w:val="0"/>
                <w:sz w:val="20"/>
                <w:lang w:bidi="ar"/>
              </w:rPr>
              <w:t>4</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睡眠模式</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sz w:val="20"/>
              </w:rPr>
            </w:pPr>
            <w:r>
              <w:rPr>
                <w:rFonts w:hint="eastAsia" w:ascii="宋体" w:hAnsi="宋体" w:cs="宋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睡眠模式和灯光自动关闭配置：可设置睡眠时间和灯光自动关闭时间，保护样品同时做到节能环保。</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sz w:val="20"/>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产品彩页或技术白皮书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kern w:val="0"/>
                <w:sz w:val="20"/>
                <w:lang w:bidi="ar"/>
              </w:rPr>
              <w:t>5</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观察方法</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sz w:val="20"/>
              </w:rPr>
            </w:pP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具有明场、电动相差、电动荧光功能</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sz w:val="20"/>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产品彩页或技术白皮书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6</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载物台</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sz w:val="20"/>
              </w:rPr>
            </w:pP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尺寸≥262mm x 212mm，通过机械手柄控制XY方向位置</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产品彩页或技术白皮书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7</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透射光照明</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sz w:val="20"/>
              </w:rPr>
            </w:pP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白色LED光源，自动光强管理，电动视场和孔径光阑调节，带有3200K色温恒定保持系统</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产品彩页或技术白皮书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8</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物镜转换器</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sz w:val="20"/>
              </w:rPr>
            </w:pPr>
            <w:r>
              <w:rPr>
                <w:rFonts w:hint="eastAsia" w:ascii="宋体" w:hAnsi="宋体" w:cs="宋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物镜转换器≥6位，具备智能编码，光强随物镜变换自动调整并记忆（非软件设定），不少于4、10、20、40长工作距离荧光相差物镜</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产品彩页或技术白皮书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9</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聚光镜</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sz w:val="20"/>
              </w:rPr>
            </w:pPr>
            <w:r>
              <w:rPr>
                <w:rFonts w:hint="eastAsia" w:ascii="黑体" w:hAnsi="宋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同时满足数值孔径NA≥0.45，工作距离≥50mm，相差环电动控制</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产品彩页或技术白皮书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10</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自动相差</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sz w:val="20"/>
              </w:rPr>
            </w:pP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自动相差转化，提供无荧光标记的细胞成像，可增强未染色、透明、半透明或低对比度样本的可见性</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产品彩页或技术白皮书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11</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荧光光源</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sz w:val="20"/>
              </w:rPr>
            </w:pP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长寿命四色LED荧光光源，波长UV:385/12nm；B:472/28nm；G:552/45nm；R:635/20nm</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产品彩页或技术白皮书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12</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荧光滤块</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sz w:val="20"/>
              </w:rPr>
            </w:pP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具备DAPI、GFP、Y3荧光滤光块</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产品彩页或技术白皮书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13</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荧光滤块转盘</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sz w:val="20"/>
              </w:rPr>
            </w:pPr>
            <w:r>
              <w:rPr>
                <w:rFonts w:hint="eastAsia" w:ascii="黑体" w:hAnsi="宋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电动荧光滤块转换≥5孔位：支持键即实现不同颜色的荧光激发，并具有电动荧光光闸，防止荧光淬灭</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产品彩页或技术白皮书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14</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摄像头</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sz w:val="20"/>
              </w:rPr>
            </w:pPr>
            <w:r>
              <w:rPr>
                <w:rFonts w:hint="eastAsia" w:ascii="黑体" w:hAnsi="宋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机身内置摄像头≥2个，采用彩色相机≥600万像素，以及黑白相机≥600万像素，用于彩色明场及荧光成像。</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产品彩页或技术白皮书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15</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软件界面</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sz w:val="20"/>
              </w:rPr>
            </w:pP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工作流程导向用户界面， 操作容易和符合人工学要求. 优化的数据处理为快速采集图象和大量数据集显示，直观的设定实验条件给快速设置和采集单色通道图象，多次采集后做图象叠加.</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产品彩页或技术白皮书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16</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摄像头控制</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sz w:val="20"/>
              </w:rPr>
            </w:pP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可调节曝光、增益、binning和伽玛值, 可进行局部图象采集，图象显示和管理，大图象视窗在采集中或后复览显示单通道，多通道图象采集。</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产品彩页或技术白皮书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17</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条件记录</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sz w:val="20"/>
              </w:rPr>
            </w:pP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具备实验条件全自动记录，全自动恢复功能，多用户界面自定义设置。</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产品彩页或技术白皮书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18</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分析模块</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sz w:val="20"/>
              </w:rPr>
            </w:pPr>
            <w:r>
              <w:rPr>
                <w:rFonts w:hint="eastAsia" w:ascii="黑体" w:hAnsi="宋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基于AI算法的细胞计数、汇合度分析和转染效率分析功能，可实时或通过图库储存的图像进行数据分析。</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产品彩页或技术白皮书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19</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多点融合</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sz w:val="20"/>
              </w:rPr>
            </w:pPr>
            <w:r>
              <w:rPr>
                <w:rFonts w:hint="eastAsia" w:ascii="宋体" w:hAnsi="宋体" w:cs="宋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可进行多点融合测量：提供多个视野（FOV）的平均融合度。</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产品彩页或技术白皮书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20</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多点计数</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sz w:val="20"/>
              </w:rPr>
            </w:pPr>
            <w:r>
              <w:rPr>
                <w:rFonts w:hint="eastAsia" w:ascii="宋体" w:hAnsi="宋体" w:cs="宋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可进行多点细胞计数：提供容器中的平均细胞计数和总细胞数，可自由选择培养容器类型。</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产品彩页或技术白皮书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21</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视频录制</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sz w:val="20"/>
              </w:rPr>
            </w:pP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支持视频录制功能。</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产品彩页或技术白皮书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22</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自动保存</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sz w:val="20"/>
              </w:rPr>
            </w:pP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自动保存拍摄的图像，防止数据丢失。</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产品彩页或技术白皮书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23</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图像叠加</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sz w:val="20"/>
              </w:rPr>
            </w:pP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多通道图像叠加功能，可在拍摄时进行实时叠加。同时也可单通道保存后在图库中自由选择多通道图像叠加。</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产品彩页或技术白皮书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24</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生成报告</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sz w:val="20"/>
              </w:rPr>
            </w:pP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生成包含图像、分析结果和测量值的报告，报告内容可编辑。</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产品彩页或技术白皮书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25</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条码录入</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sz w:val="20"/>
              </w:rPr>
            </w:pPr>
            <w:r>
              <w:rPr>
                <w:rFonts w:hint="eastAsia" w:ascii="宋体" w:hAnsi="宋体" w:cs="宋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条形码录入功能：适合批量样品的批号信息录入和样品追踪。</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产品彩页或技术白皮书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26</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操作系统</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sz w:val="20"/>
              </w:rPr>
            </w:pP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嵌入式PC系统，无需额外配置电脑，节省实验室空间。</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产品彩页或技术白皮书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27</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屏幕</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sz w:val="20"/>
              </w:rPr>
            </w:pPr>
            <w:r>
              <w:rPr>
                <w:rFonts w:hint="eastAsia" w:ascii="黑体" w:hAnsi="宋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一体式触控屏：1080P高清触控屏，尺寸≥15.6英寸，1920 像素 x 1080 像素，并且角度可调，可向后放倒至水平。</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产品彩页或技术白皮书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28</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接口</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sz w:val="20"/>
              </w:rPr>
            </w:pP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显微镜机身带有4个USB接口，至少有一个USB3.0快速传输口。</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产品彩页或技术白皮书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29</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安全</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sz w:val="20"/>
              </w:rPr>
            </w:pPr>
            <w:r>
              <w:rPr>
                <w:rFonts w:hint="eastAsia" w:ascii="黑体" w:hAnsi="宋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显微镜可用于生物安全等级为BSL1和BSL2的实验室，与紫外线、乙醇和过氧化氢净化方法兼容。</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产品彩页或技术白皮书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30</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数据管理</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sz w:val="20"/>
              </w:rPr>
            </w:pPr>
            <w:r>
              <w:rPr>
                <w:rFonts w:hint="eastAsia" w:ascii="宋体" w:hAnsi="宋体" w:cs="宋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通过增强的数据跟踪、审计跟踪和移动共享功能，提高可靠性和效率。内置审计跟踪和用户管理功能，支持遵守 FDA 21 CFR Part 11，使数据管理更简单、更安全。</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产品彩页或技术白皮书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31</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二维码传输</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sz w:val="20"/>
              </w:rPr>
            </w:pPr>
            <w:r>
              <w:rPr>
                <w:rFonts w:hint="eastAsia" w:ascii="宋体" w:hAnsi="宋体" w:cs="宋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可通过扫描已采集图片的二维码，将显微镜数据无缝传输到任何移动设备，更轻松协作共享数据。</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产品彩页或技术白皮书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32</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用户管理</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sz w:val="20"/>
              </w:rPr>
            </w:pP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在用户和高级用户角色之间进行选择。用户操作权限可按功能编辑赋予，未开通的功能，用户无法使用。可更细致的区分不同用户使用权限范围。</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产品彩页或技术白皮书</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33</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配置要求</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sz w:val="20"/>
              </w:rPr>
            </w:pPr>
            <w:r>
              <w:rPr>
                <w:rFonts w:hint="eastAsia" w:ascii="黑体" w:hAnsi="宋体" w:eastAsia="黑体" w:cs="黑体"/>
                <w:kern w:val="0"/>
                <w:sz w:val="20"/>
                <w:lang w:bidi="ar"/>
              </w:rPr>
              <w:t>主机1台，物镜 4个，荧光模块1套，显微镜内置摄像头2个，内置软件1套</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sz w:val="20"/>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企业承诺</w:t>
            </w:r>
          </w:p>
        </w:tc>
      </w:tr>
      <w:tr>
        <w:tblPrEx>
          <w:tblLayout w:type="fixed"/>
          <w:tblCellMar>
            <w:top w:w="0" w:type="dxa"/>
            <w:left w:w="108" w:type="dxa"/>
            <w:bottom w:w="0" w:type="dxa"/>
            <w:right w:w="108" w:type="dxa"/>
          </w:tblCellMar>
        </w:tblPrEx>
        <w:trPr>
          <w:trHeight w:val="50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34</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配套耗材</w:t>
            </w:r>
          </w:p>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（试剂）要求</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开放耗材</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kern w:val="0"/>
                <w:sz w:val="20"/>
                <w:lang w:bidi="ar"/>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企业承诺</w:t>
            </w:r>
          </w:p>
        </w:tc>
      </w:tr>
      <w:tr>
        <w:tblPrEx>
          <w:tblLayout w:type="fixed"/>
          <w:tblCellMar>
            <w:top w:w="0" w:type="dxa"/>
            <w:left w:w="108" w:type="dxa"/>
            <w:bottom w:w="0" w:type="dxa"/>
            <w:right w:w="108" w:type="dxa"/>
          </w:tblCellMar>
        </w:tblPrEx>
        <w:trPr>
          <w:trHeight w:val="1090" w:hRule="atLeast"/>
        </w:trPr>
        <w:tc>
          <w:tcPr>
            <w:tcW w:w="5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35</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验收标准方法</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sz w:val="20"/>
              </w:rPr>
            </w:pPr>
            <w:r>
              <w:rPr>
                <w:rFonts w:hint="eastAsia" w:ascii="黑体" w:hAnsi="宋体" w:eastAsia="黑体" w:cs="黑体"/>
                <w:kern w:val="0"/>
                <w:sz w:val="20"/>
                <w:lang w:bidi="ar"/>
              </w:rPr>
              <w:t>按照投标文件、采购合同、质量标准等，组织对医疗设备进行质量验收，出具验收报告。验收过程中对于核心参数存疑需检测的，可委托地方具有相应检测能力的机构提供技术支持。</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sz w:val="20"/>
              </w:rPr>
            </w:pPr>
            <w:r>
              <w:rPr>
                <w:rFonts w:hint="eastAsia" w:ascii="黑体" w:hAnsi="宋体" w:eastAsia="黑体" w:cs="黑体"/>
                <w:kern w:val="0"/>
                <w:sz w:val="20"/>
                <w:lang w:bidi="ar"/>
              </w:rPr>
              <w:t>否</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黑体" w:hAnsi="宋体" w:eastAsia="黑体" w:cs="黑体"/>
                <w:sz w:val="20"/>
              </w:rPr>
            </w:pPr>
            <w:r>
              <w:rPr>
                <w:rFonts w:hint="eastAsia" w:ascii="黑体" w:hAnsi="宋体" w:eastAsia="黑体" w:cs="黑体"/>
                <w:kern w:val="0"/>
                <w:sz w:val="20"/>
                <w:lang w:bidi="ar"/>
              </w:rPr>
              <w:t>企业承诺</w:t>
            </w:r>
          </w:p>
        </w:tc>
      </w:tr>
    </w:tbl>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宋体" w:hAnsi="宋体" w:cs="宋体"/>
          <w:kern w:val="0"/>
          <w:sz w:val="22"/>
          <w:szCs w:val="22"/>
          <w:lang w:bidi="ar"/>
        </w:rPr>
      </w:pPr>
      <w:r>
        <w:rPr>
          <w:rFonts w:ascii="宋体" w:hAnsi="宋体" w:cs="宋体"/>
          <w:kern w:val="0"/>
          <w:sz w:val="22"/>
          <w:szCs w:val="22"/>
          <w:lang w:bidi="ar"/>
        </w:rPr>
        <w:t xml:space="preserve">说明 </w:t>
      </w:r>
      <w:r>
        <w:rPr>
          <w:rFonts w:hint="eastAsia" w:ascii="宋体" w:hAnsi="宋体" w:cs="宋体"/>
          <w:kern w:val="0"/>
          <w:sz w:val="22"/>
          <w:szCs w:val="22"/>
          <w:lang w:bidi="ar"/>
        </w:rPr>
        <w:t>：</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宋体" w:hAnsi="宋体" w:cs="宋体"/>
          <w:kern w:val="0"/>
          <w:sz w:val="22"/>
          <w:szCs w:val="22"/>
          <w:lang w:bidi="ar"/>
        </w:rPr>
      </w:pPr>
      <w:r>
        <w:rPr>
          <w:rFonts w:hint="eastAsia" w:ascii="宋体" w:hAnsi="宋体" w:cs="宋体"/>
          <w:kern w:val="0"/>
          <w:sz w:val="22"/>
          <w:szCs w:val="22"/>
          <w:lang w:bidi="ar"/>
        </w:rPr>
        <w:t>（</w:t>
      </w:r>
      <w:r>
        <w:rPr>
          <w:rFonts w:ascii="宋体" w:hAnsi="宋体" w:cs="宋体"/>
          <w:kern w:val="0"/>
          <w:sz w:val="22"/>
          <w:szCs w:val="22"/>
          <w:lang w:bidi="ar"/>
        </w:rPr>
        <w:t>1</w:t>
      </w:r>
      <w:r>
        <w:rPr>
          <w:rFonts w:hint="eastAsia" w:ascii="宋体" w:hAnsi="宋体" w:cs="宋体"/>
          <w:kern w:val="0"/>
          <w:sz w:val="22"/>
          <w:szCs w:val="22"/>
          <w:lang w:bidi="ar"/>
        </w:rPr>
        <w:t>）</w:t>
      </w:r>
      <w:r>
        <w:rPr>
          <w:rFonts w:ascii="宋体" w:hAnsi="宋体" w:cs="宋体"/>
          <w:kern w:val="0"/>
          <w:sz w:val="22"/>
          <w:szCs w:val="22"/>
          <w:lang w:bidi="ar"/>
        </w:rPr>
        <w:t>★指标为必须响应指标，任意一项不满足要求即做废标处理；</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宋体" w:hAnsi="宋体" w:cs="宋体"/>
          <w:kern w:val="0"/>
          <w:sz w:val="22"/>
          <w:szCs w:val="22"/>
          <w:lang w:bidi="ar"/>
        </w:rPr>
      </w:pPr>
      <w:r>
        <w:rPr>
          <w:rFonts w:hint="eastAsia" w:ascii="宋体" w:hAnsi="宋体" w:cs="宋体"/>
          <w:kern w:val="0"/>
          <w:sz w:val="22"/>
          <w:szCs w:val="22"/>
          <w:lang w:bidi="ar"/>
        </w:rPr>
        <w:t>（</w:t>
      </w:r>
      <w:r>
        <w:rPr>
          <w:rFonts w:ascii="宋体" w:hAnsi="宋体" w:cs="宋体"/>
          <w:kern w:val="0"/>
          <w:sz w:val="22"/>
          <w:szCs w:val="22"/>
          <w:lang w:bidi="ar"/>
        </w:rPr>
        <w:t>2</w:t>
      </w:r>
      <w:r>
        <w:rPr>
          <w:rFonts w:hint="eastAsia" w:ascii="宋体" w:hAnsi="宋体" w:cs="宋体"/>
          <w:kern w:val="0"/>
          <w:sz w:val="22"/>
          <w:szCs w:val="22"/>
          <w:lang w:bidi="ar"/>
        </w:rPr>
        <w:t>）</w:t>
      </w:r>
      <w:r>
        <w:rPr>
          <w:rFonts w:hint="eastAsia" w:ascii="宋体" w:hAnsi="宋体" w:cs="宋体"/>
          <w:kern w:val="0"/>
          <w:sz w:val="22"/>
          <w:szCs w:val="22"/>
          <w:lang w:eastAsia="zh-CN" w:bidi="ar"/>
        </w:rPr>
        <w:t>技术</w:t>
      </w:r>
      <w:r>
        <w:rPr>
          <w:rFonts w:ascii="宋体" w:hAnsi="宋体" w:cs="宋体"/>
          <w:kern w:val="0"/>
          <w:sz w:val="22"/>
          <w:szCs w:val="22"/>
          <w:lang w:bidi="ar"/>
        </w:rPr>
        <w:t>指标</w:t>
      </w:r>
      <w:r>
        <w:rPr>
          <w:rFonts w:hint="eastAsia" w:ascii="宋体" w:hAnsi="宋体" w:cs="宋体"/>
          <w:kern w:val="0"/>
          <w:sz w:val="22"/>
          <w:szCs w:val="22"/>
          <w:lang w:eastAsia="zh-CN" w:bidi="ar"/>
        </w:rPr>
        <w:t>均</w:t>
      </w:r>
      <w:r>
        <w:rPr>
          <w:rFonts w:ascii="宋体" w:hAnsi="宋体" w:cs="宋体"/>
          <w:kern w:val="0"/>
          <w:sz w:val="22"/>
          <w:szCs w:val="22"/>
          <w:lang w:bidi="ar"/>
        </w:rPr>
        <w:t>须提供技术支持材料，《采购需求表》备注已明确证明材料种类的，以所注内容或国家行政管理部门、专业检测机构出具的证明材料为准。</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宋体" w:hAnsi="宋体" w:cs="宋体"/>
          <w:kern w:val="0"/>
          <w:sz w:val="22"/>
          <w:szCs w:val="22"/>
          <w:lang w:eastAsia="zh-CN" w:bidi="ar"/>
        </w:rPr>
      </w:pPr>
      <w:r>
        <w:rPr>
          <w:rFonts w:hint="eastAsia" w:ascii="宋体" w:hAnsi="宋体" w:cs="宋体"/>
          <w:kern w:val="0"/>
          <w:sz w:val="22"/>
          <w:szCs w:val="22"/>
          <w:lang w:bidi="ar"/>
        </w:rPr>
        <w:t>（</w:t>
      </w:r>
      <w:r>
        <w:rPr>
          <w:rFonts w:hint="eastAsia" w:ascii="宋体" w:hAnsi="宋体" w:cs="宋体"/>
          <w:kern w:val="0"/>
          <w:sz w:val="22"/>
          <w:szCs w:val="22"/>
          <w:lang w:val="en-US" w:eastAsia="zh-CN" w:bidi="ar"/>
        </w:rPr>
        <w:t>3</w:t>
      </w:r>
      <w:r>
        <w:rPr>
          <w:rFonts w:hint="eastAsia" w:ascii="宋体" w:hAnsi="宋体" w:cs="宋体"/>
          <w:kern w:val="0"/>
          <w:sz w:val="22"/>
          <w:szCs w:val="22"/>
          <w:lang w:bidi="ar"/>
        </w:rPr>
        <w:t>）▲标识的指标负偏离≥</w:t>
      </w:r>
      <w:r>
        <w:rPr>
          <w:rFonts w:hint="eastAsia" w:ascii="宋体" w:hAnsi="宋体" w:cs="宋体"/>
          <w:kern w:val="0"/>
          <w:sz w:val="22"/>
          <w:szCs w:val="22"/>
          <w:lang w:val="en-US" w:eastAsia="zh-CN" w:bidi="ar"/>
        </w:rPr>
        <w:t>4</w:t>
      </w:r>
      <w:r>
        <w:rPr>
          <w:rFonts w:hint="eastAsia" w:ascii="宋体" w:hAnsi="宋体" w:cs="宋体"/>
          <w:kern w:val="0"/>
          <w:sz w:val="22"/>
          <w:szCs w:val="22"/>
          <w:lang w:bidi="ar"/>
        </w:rPr>
        <w:t>项，投标企业技术</w:t>
      </w:r>
      <w:r>
        <w:rPr>
          <w:rFonts w:hint="eastAsia" w:ascii="宋体" w:hAnsi="宋体" w:cs="宋体"/>
          <w:kern w:val="0"/>
          <w:sz w:val="22"/>
          <w:szCs w:val="22"/>
          <w:lang w:eastAsia="zh-CN" w:bidi="ar"/>
        </w:rPr>
        <w:t>指标</w:t>
      </w:r>
      <w:r>
        <w:rPr>
          <w:rFonts w:hint="eastAsia" w:ascii="宋体" w:hAnsi="宋体" w:cs="宋体"/>
          <w:kern w:val="0"/>
          <w:sz w:val="22"/>
          <w:szCs w:val="22"/>
          <w:lang w:bidi="ar"/>
        </w:rPr>
        <w:t>分值为0分</w:t>
      </w:r>
      <w:r>
        <w:rPr>
          <w:rFonts w:ascii="宋体" w:hAnsi="宋体" w:cs="宋体"/>
          <w:kern w:val="0"/>
          <w:sz w:val="22"/>
          <w:szCs w:val="22"/>
          <w:lang w:bidi="ar"/>
        </w:rPr>
        <w:t>；</w:t>
      </w:r>
      <w:r>
        <w:rPr>
          <w:rFonts w:hint="eastAsia" w:ascii="宋体" w:hAnsi="宋体" w:cs="宋体"/>
          <w:kern w:val="0"/>
          <w:sz w:val="22"/>
          <w:szCs w:val="22"/>
          <w:lang w:bidi="ar"/>
        </w:rPr>
        <w:t>▲标识的指标和“无标识”指标负偏离≥</w:t>
      </w:r>
      <w:r>
        <w:rPr>
          <w:rFonts w:hint="eastAsia" w:ascii="宋体" w:hAnsi="宋体" w:cs="宋体"/>
          <w:kern w:val="0"/>
          <w:sz w:val="22"/>
          <w:szCs w:val="22"/>
          <w:lang w:val="en-US" w:eastAsia="zh-CN" w:bidi="ar"/>
        </w:rPr>
        <w:t>8</w:t>
      </w:r>
      <w:r>
        <w:rPr>
          <w:rFonts w:hint="eastAsia" w:ascii="宋体" w:hAnsi="宋体" w:cs="宋体"/>
          <w:kern w:val="0"/>
          <w:sz w:val="22"/>
          <w:szCs w:val="22"/>
          <w:lang w:bidi="ar"/>
        </w:rPr>
        <w:t>项，投标企业技术</w:t>
      </w:r>
      <w:r>
        <w:rPr>
          <w:rFonts w:hint="eastAsia" w:ascii="宋体" w:hAnsi="宋体" w:cs="宋体"/>
          <w:kern w:val="0"/>
          <w:sz w:val="22"/>
          <w:szCs w:val="22"/>
          <w:lang w:eastAsia="zh-CN" w:bidi="ar"/>
        </w:rPr>
        <w:t>指标</w:t>
      </w:r>
      <w:r>
        <w:rPr>
          <w:rFonts w:hint="eastAsia" w:ascii="宋体" w:hAnsi="宋体" w:cs="宋体"/>
          <w:kern w:val="0"/>
          <w:sz w:val="22"/>
          <w:szCs w:val="22"/>
          <w:lang w:bidi="ar"/>
        </w:rPr>
        <w:t>分值为0分</w:t>
      </w:r>
      <w:r>
        <w:rPr>
          <w:rFonts w:hint="eastAsia" w:ascii="宋体" w:hAnsi="宋体" w:cs="宋体"/>
          <w:kern w:val="0"/>
          <w:sz w:val="22"/>
          <w:szCs w:val="22"/>
          <w:lang w:eastAsia="zh-CN" w:bidi="ar"/>
        </w:rPr>
        <w:t>。</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宋体" w:hAnsi="宋体" w:cs="宋体"/>
          <w:kern w:val="0"/>
          <w:sz w:val="22"/>
          <w:szCs w:val="22"/>
          <w:lang w:eastAsia="zh-CN" w:bidi="ar"/>
        </w:rPr>
      </w:pPr>
      <w:r>
        <w:rPr>
          <w:rFonts w:hint="eastAsia" w:ascii="宋体" w:hAnsi="宋体" w:cs="宋体"/>
          <w:kern w:val="0"/>
          <w:sz w:val="22"/>
          <w:szCs w:val="22"/>
          <w:lang w:eastAsia="zh-CN" w:bidi="ar"/>
        </w:rPr>
        <w:t>（</w:t>
      </w:r>
      <w:r>
        <w:rPr>
          <w:rFonts w:hint="eastAsia" w:ascii="宋体" w:hAnsi="宋体" w:cs="宋体"/>
          <w:kern w:val="0"/>
          <w:sz w:val="22"/>
          <w:szCs w:val="22"/>
          <w:lang w:val="en-US" w:eastAsia="zh-CN" w:bidi="ar"/>
        </w:rPr>
        <w:t>4</w:t>
      </w:r>
      <w:r>
        <w:rPr>
          <w:rFonts w:hint="eastAsia" w:ascii="宋体" w:hAnsi="宋体" w:cs="宋体"/>
          <w:kern w:val="0"/>
          <w:sz w:val="22"/>
          <w:szCs w:val="22"/>
          <w:lang w:eastAsia="zh-CN" w:bidi="ar"/>
        </w:rPr>
        <w:t>）产品彩页、技术白皮书需加盖厂家公章（进口产品可以为国内总代理公章）和企业公章。</w:t>
      </w:r>
    </w:p>
    <w:p>
      <w:pPr>
        <w:pStyle w:val="2"/>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kern w:val="0"/>
          <w:sz w:val="22"/>
          <w:szCs w:val="22"/>
          <w:lang w:val="en-US" w:eastAsia="zh-CN" w:bidi="ar"/>
        </w:rPr>
      </w:pPr>
      <w:r>
        <w:rPr>
          <w:rFonts w:hint="eastAsia" w:ascii="宋体" w:hAnsi="宋体" w:eastAsia="宋体" w:cs="宋体"/>
          <w:kern w:val="0"/>
          <w:sz w:val="22"/>
          <w:szCs w:val="22"/>
          <w:lang w:val="en-US" w:eastAsia="zh-CN" w:bidi="ar"/>
        </w:rPr>
        <w:t>（5）供应商响应“配置要求”所提供的配置按照医疗器械管理的均须供应商提供医疗器械产品注册证或医疗器械产品备案凭证，不按医疗器械管理的须附说明或由评审专家判定是否合理。</w:t>
      </w:r>
    </w:p>
    <w:p>
      <w:bookmarkStart w:id="39" w:name="_GoBack"/>
      <w:bookmarkEnd w:id="3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3F1E489"/>
    <w:multiLevelType w:val="singleLevel"/>
    <w:tmpl w:val="E3F1E48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0275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eastAsia="方正小标宋简体"/>
      <w:b/>
      <w:bCs/>
      <w:sz w:val="44"/>
      <w:szCs w:val="32"/>
    </w:rPr>
  </w:style>
  <w:style w:type="paragraph" w:styleId="4">
    <w:name w:val="heading 3"/>
    <w:basedOn w:val="1"/>
    <w:next w:val="1"/>
    <w:qFormat/>
    <w:uiPriority w:val="0"/>
    <w:pPr>
      <w:keepNext/>
      <w:keepLines/>
      <w:spacing w:before="260" w:after="260" w:line="416" w:lineRule="auto"/>
      <w:outlineLvl w:val="2"/>
    </w:pPr>
    <w:rPr>
      <w:rFonts w:eastAsia="黑体"/>
      <w:b/>
      <w:bCs/>
      <w:sz w:val="32"/>
      <w:szCs w:val="32"/>
    </w:rPr>
  </w:style>
  <w:style w:type="character" w:default="1" w:styleId="8">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5">
    <w:name w:val="Body Text"/>
    <w:basedOn w:val="1"/>
    <w:next w:val="1"/>
    <w:qFormat/>
    <w:uiPriority w:val="99"/>
    <w:pPr>
      <w:spacing w:after="120"/>
    </w:p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2026-01-30T08:38:00Z</dcterms:created>
  <dc:creator>admin</dc:creator>
  <cp:lastModifiedBy>admin</cp:lastModifiedBy>
  <dcterms:modified xsi:type="dcterms:W3CDTF">2026-01-30T08:38:48Z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