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1292"/>
        <w:gridCol w:w="704"/>
        <w:gridCol w:w="3104"/>
        <w:gridCol w:w="1108"/>
        <w:gridCol w:w="16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项目</w:t>
            </w: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eastAsia="zh-CN" w:bidi="ar"/>
              </w:rPr>
              <w:t>编号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2025-JQ06-F3104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项目名称</w:t>
            </w:r>
          </w:p>
        </w:tc>
        <w:tc>
          <w:tcPr>
            <w:tcW w:w="3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bidi="ar"/>
              </w:rPr>
              <w:t>网站升级改版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（万元）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需求名称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性质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需求具体内容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0"/>
                <w:szCs w:val="20"/>
                <w:lang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852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基本要求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①开展页面设计、系统开发、数据库搭建、应用调试，开发在线学习、系统公告、动态展示、文化熏陶、软件下载、搜索导航、访问统计、信箱交流等功能；②具体栏目设置可自定义调整，支持文字、图片、视频、动图多形式内容自主编辑，支持多权限账号创建、分级组织架构创建；③网站各栏目版块，按照甲方的方案进行调整；④网站需实现响应式设计，具有良好显示与交互体验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标准规范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①《信息安全技术 网络基础安全技术要求》（GB/T 20270）；②《计算机软件文档编制规范》（GB/T 8567）；③《信息技术 软件生存周期过程》（GB/T 8566）；④《信息技术 互联网内容无障碍可访问性技术要求与测试方法》（GB/T 37668 - 2019）；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⑤遵循W3C标准，确保网站代码符合HTML5、CSS3规范，提高网站的可访问性和SEO优化。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技术指标1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①日常并发用户数：支持≥2000名用户同时在线，核心业务并发请求≥500QPS；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②峰值并发用户数：支持≥3000 名用户同时在线，核心业务并发请求≥1000 QPS，无卡顿、超时；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③批量数据处理：单次可处理≥1000 条数据，处理时间≤30 秒；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④页面加载：PC 端首页加载时间≤2 秒，二级页面≤1.5 秒；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⑤数据查询：查询响应时间≤500ms，复杂查询（如多条件筛选数据）≤1 秒；</w:t>
            </w:r>
          </w:p>
          <w:p>
            <w:pPr>
              <w:widowControl/>
              <w:spacing w:line="240" w:lineRule="exact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⑥交互操作：操作提交响应时间≤300ms，文件上传速度≥10MB/s。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技术指标2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①遵循军队数据交换标准；②支持主流浏览器（Chrome、Edge、火狐等）及国产浏览器（360 安全浏览器、UC 浏览器等），兼容版本≥最新 3 个版本，无页面错乱、功能失效问题；③安全性要求：实现HTTPS加密传输，防止SQL注入、XSS攻击等安全漏洞。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技术指标3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①内容管理系统（CMS）升级:提供直观易用的后台管理界面，支持多级权限管理；②源代码交付，包括但不限于源代码（前端、后端、移动端、数据库脚本等）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技术指标4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①功能性增强：集成在线投稿，发稿数据统计，稿件单位、主题、关键词、作者全站搜索等和反馈表单等互动模块，提升用户体验；②数据迁移与备份：确保现有网站数据迁移至新网站，并建立数据定期备份机制。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技术指标6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搜索引擎优化（SEO）：优化网站结构，增加曝光率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配置名称1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（服务点位）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服务点位包括但不限于：需求分析、UI设计、前端开发、后端开发、测试验收、上线部署、后期维护。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配置名称2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（服务点位）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服务人员需包括项目经理1名、UI设计师1名、前端工程师2名、后端工程师2名、测试工程师1名等至少7名。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综合实力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至少提供1份同类项目业绩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合同复印件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验收标准方法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按照投标文件、采购合同、质量标准等，组织质量验收，出具验收报告。验收过程中对于核心参数存疑需检测的，可委托地方具有相应检测能力的机构提供技术支持。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8522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bidi="ar"/>
              </w:rPr>
              <w:t>经济要求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 w:bidi="ar"/>
              </w:rPr>
              <w:t>（不接受负偏离）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交货时间、交货地点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合同签订后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个月内交付，交付地点由甲方指定。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付款及结算方式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签订合同付30%预付款，项目验收合格后付65%，剩余5%作为质保金，质保期满后支付。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履约保证金、质量保证金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验收合格后满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年无质量问题支付剩余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%（不超过5%）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产品包装和运输要求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按照国家、行业相关标准规范，产品确保包装完好，运输确保不对产品造成损伤。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售后服务1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（质保）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质保期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不低于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年，全年故障停机时间不高于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%（按365日/年计算)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售后服务2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（质保）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质保期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内免费提供定期维护保养服务，免费升级和维护软件，免费提供使用培训。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售后服务3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（质保）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提供不少于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人次、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天的工程师维修培训。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售后服务4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（响应时间）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iCs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维修响应时间≤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小时，维修到达现场时间≤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小时。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专用工具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default" w:ascii="黑体" w:hAnsi="黑体" w:eastAsia="黑体" w:cs="黑体"/>
                <w:iCs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提供的完整的使用说明书、操作手册。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sz w:val="20"/>
                <w:lang w:eastAsia="zh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  <w:lang w:eastAsia="zh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知识产权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Times New Roman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价供应商应当保证采购单位在使用该物资或其任何一部分时，不受第三方侵权指控。同时，报价供应商不得向第三方泄露采购机构提供的技术文件等材料。基于项目合同履行形成的知识产权和其他权益，其权属归采购单位所有，法律另有规定的除外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物资编目编码、打码贴签要求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  <w:lang w:val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本项目服务所含配套物资有编目编码、打码贴签要求的，投标供应商应当予以明确响应，相关费用包含在报价中。</w:t>
            </w:r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保密要求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★</w:t>
            </w:r>
          </w:p>
        </w:tc>
        <w:tc>
          <w:tcPr>
            <w:tcW w:w="4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color w:val="000000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zh-CN" w:eastAsia="zh-CN"/>
              </w:rPr>
              <w:t>对采购单位提供的人员、地址、采购情况等信息要保守秘密，不得向外界透露。中标通知书发出后，采购单位将与中标供应商签订保密协议。</w:t>
            </w:r>
            <w:bookmarkStart w:id="0" w:name="_GoBack"/>
            <w:bookmarkEnd w:id="0"/>
          </w:p>
        </w:tc>
        <w:tc>
          <w:tcPr>
            <w:tcW w:w="1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企业承诺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34754"/>
    <w:rsid w:val="04770A4C"/>
    <w:rsid w:val="1D8E530B"/>
    <w:rsid w:val="27FA64DC"/>
    <w:rsid w:val="40D34754"/>
    <w:rsid w:val="46B67806"/>
    <w:rsid w:val="47801F44"/>
    <w:rsid w:val="4B42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2025-02-21T02:26:00Z</dcterms:created>
  <dc:creator>administrator</dc:creator>
  <cp:lastModifiedBy>administrator</cp:lastModifiedBy>
  <dcterms:modified xsi:type="dcterms:W3CDTF">2026-02-04T08:31:52Z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