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59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32"/>
        <w:gridCol w:w="626"/>
        <w:gridCol w:w="2141"/>
        <w:gridCol w:w="2141"/>
        <w:gridCol w:w="1009"/>
        <w:gridCol w:w="166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2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7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全自动血气分析仪</w:t>
            </w:r>
          </w:p>
        </w:tc>
        <w:tc>
          <w:tcPr>
            <w:tcW w:w="2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项目编号</w:t>
            </w:r>
          </w:p>
        </w:tc>
        <w:tc>
          <w:tcPr>
            <w:tcW w:w="26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eastAsia="黑体"/>
                <w:bCs/>
                <w:color w:val="auto"/>
                <w:sz w:val="28"/>
                <w:szCs w:val="28"/>
                <w:u w:val="single"/>
              </w:rPr>
              <w:t>2025-JQ06-W3295</w:t>
            </w:r>
            <w:r>
              <w:rPr>
                <w:rFonts w:eastAsia="黑体"/>
                <w:bCs/>
                <w:color w:val="auto"/>
                <w:sz w:val="28"/>
                <w:szCs w:val="28"/>
                <w:u w:val="single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参数性质</w:t>
            </w:r>
          </w:p>
        </w:tc>
        <w:tc>
          <w:tcPr>
            <w:tcW w:w="42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需求具体内容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是否量化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备注（证明材料等其他要求）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用于动脉血、静脉血中气体、电解质和代谢物的快速检测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彩页或技术白皮书或说明书等有效证明材料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标准规范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具有NMPA认证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认证材料或注册证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测量指标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至少包含pH、pCO2、pO2、Na+、K+、Cl-、Ca++、Glu、Lac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彩页或技术白皮书或说明书等有效证明材料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计算指标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至少包含HCO3- std,HCO3-,TCO2, BEecf , BE(B),SO2c, Ca++ (7.4), THbc, A-aDO2, pAO2, paO2/pAO2, RI, CaO2, CvO2, CcO2, a-vDO2, Qsp/Qt , Qsp/Qt(est) ,P50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彩页或技术白皮书或说明书等有效证明材料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质控频率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智能质控实现实时监测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彩页或技术白皮书或说明书等有效证明材料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测试速度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≤90秒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彩页或技术白皮书或说明书等有效证明材料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一体化分析包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一体化分析包，进样端口和电极都在分析包内，无需更换进样针、进样垫圈及支架等耗材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彩页或技术白皮书或说明书等有效证明材料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取样来源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所列样本类型需包含：动脉，静脉，末梢血，胸水样本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耗材存储方式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耗材常温储存或者2-8℃冷藏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显示和操作方式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彩色触摸屏显示和操作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操作界面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中文操作界面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接口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USB或RS232或以太网口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报警及安全指标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具有异常提示、安全报警声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配置要求1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血气分析仪1套和UPS（电源工作时长≥1小时） 1台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厂家承诺及配置清单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配套耗材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（试剂）要求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封闭耗材（试剂）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注册证，若非同品牌需提供耗材(试剂)为设备生产企业指定唯一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代工品牌的材料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配置要求2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不间断电源（电源工作时长≥1小时）1台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959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rPr>
                <w:rFonts w:hint="eastAsia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注：</w:t>
            </w:r>
          </w:p>
          <w:p>
            <w:pPr>
              <w:pStyle w:val="2"/>
              <w:rPr>
                <w:rFonts w:hint="eastAsia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1.★号项技术指标不接受负偏离。</w:t>
            </w:r>
          </w:p>
          <w:p>
            <w:pPr>
              <w:widowControl/>
              <w:snapToGrid w:val="0"/>
              <w:spacing w:line="276" w:lineRule="auto"/>
              <w:jc w:val="left"/>
              <w:rPr>
                <w:rFonts w:hint="eastAsia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2.</w:t>
            </w:r>
            <w:r>
              <w:rPr>
                <w:rFonts w:hint="eastAsia"/>
                <w:color w:val="auto"/>
                <w:sz w:val="22"/>
                <w:szCs w:val="22"/>
              </w:rPr>
              <w:t>▲</w:t>
            </w:r>
            <w:r>
              <w:rPr>
                <w:rFonts w:hint="eastAsia"/>
                <w:color w:val="auto"/>
                <w:sz w:val="22"/>
                <w:szCs w:val="22"/>
                <w:lang w:eastAsia="zh-CN"/>
              </w:rPr>
              <w:t>技术指标</w:t>
            </w: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负偏离≥2项，“技术指标正负偏离情况”得分为0分。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3.</w:t>
            </w:r>
            <w:r>
              <w:rPr>
                <w:rFonts w:hint="eastAsia"/>
                <w:color w:val="auto"/>
                <w:sz w:val="22"/>
                <w:szCs w:val="22"/>
              </w:rPr>
              <w:t>▲</w:t>
            </w:r>
            <w:r>
              <w:rPr>
                <w:rFonts w:hint="eastAsia"/>
                <w:color w:val="auto"/>
                <w:sz w:val="22"/>
                <w:szCs w:val="22"/>
                <w:lang w:eastAsia="zh-CN"/>
              </w:rPr>
              <w:t>技术指标和“无标识”技术指标</w:t>
            </w: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负偏离≥4项，“技术指标正负偏离情况”得分为0分。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RkZDQ3ZjMzOTY5MWI5OWQ5MThmMTU1NGRhOTc5MGIifQ=="/>
  </w:docVars>
  <w:rsids>
    <w:rsidRoot w:val="00000000"/>
    <w:rsid w:val="0FE84FD7"/>
    <w:rsid w:val="461C43CC"/>
    <w:rsid w:val="78851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2026-01-13T10:39:00Z</dcterms:created>
  <dc:creator>admin</dc:creator>
  <cp:lastModifiedBy>admin</cp:lastModifiedBy>
  <dcterms:modified xsi:type="dcterms:W3CDTF">2026-03-03T03:05:52Z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D35E96AF79204C2983485DBC8E4C7EF7</vt:lpwstr>
  </property>
</Properties>
</file>