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6"/>
        <w:gridCol w:w="1599"/>
        <w:gridCol w:w="585"/>
        <w:gridCol w:w="4980"/>
        <w:gridCol w:w="661"/>
        <w:gridCol w:w="10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563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应用高效液相色谱法（HPLC）原理，对来源于患者的全血样本中的HbA1C（糖化血红蛋白）, HbF（胎儿血红蛋白）成分进行定量检测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具有NMPA认证，通过NGSP和IFCC双重认证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注册证及认证文件（若为英文需提供翻译件）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检测波长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双波长吸光度法检测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HbA1c 检测≤35秒/样本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精密度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CV≤1%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自动进样 单次样本容量≥90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样本管类型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可自动识别、检测原始样品管和稀释样品管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样本识别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具有自动识别样品管条形码功能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急诊检测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具备专用急诊位，具备急诊插入优先检测功能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最小样本量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≤4ul(全血），可使用末梢血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洗脱液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≥3种，层析柱使用期间可单独更换过滤网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技术白皮书或说明书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检测峰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结果可显示≥6个检测峰，可同时显示IFCC和NGSP双重结果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报告模式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图文报告模式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数据通信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可与医院HIS/LIS系统双向联接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维护保养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开机自动自检、自动检测、可设定自动开关机、具备自我维护、自动报警及错误提示功能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全自动糖化血红蛋白分析仪主机一台；国产电脑一台；UPS一台（可持续供电1小时），国产打印机一台 ，附件包一套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58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9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2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承诺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注册证，若非同品牌需提供耗材(试剂)为设备生产企业指定唯一代工品牌的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证明</w:t>
            </w: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zh-CN" w:eastAsia="zh-CN" w:bidi="ar"/>
              </w:rPr>
              <w:t>材料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封闭耗材</w:t>
      </w:r>
    </w:p>
    <w:tbl>
      <w:tblPr>
        <w:tblStyle w:val="2"/>
        <w:tblW w:w="64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5"/>
        <w:gridCol w:w="2153"/>
        <w:gridCol w:w="1050"/>
        <w:gridCol w:w="840"/>
        <w:gridCol w:w="9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1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糖化血红蛋白（HbA1c）测定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52000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人份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57347"/>
    <w:rsid w:val="5DA5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2026-03-02T03:06:00Z</dcterms:created>
  <dc:creator>陈佩仪</dc:creator>
  <cp:lastModifiedBy>陈佩仪</cp:lastModifiedBy>
  <dcterms:modified xsi:type="dcterms:W3CDTF">2026-03-02T03:17:46Z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