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适用于肝脏实体肿瘤的消融治疗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主机具备NMPA认证(CFDA)认证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输出通道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胰腺肿瘤陡脉冲消融治疗功能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输出电压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≥500-3000V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20-100μs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组内脉冲个数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1-10个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组内脉冲电压误差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≤5%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组内脉冲最大能量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≤20J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最大脉冲电流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≤50A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心电同步模式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心电监护仪检测R波后不应期，响应输出时间≤20ms, 激发电脉冲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术中检测功能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动态显示每个及每组脉冲的电压/电流趋势图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电极消融针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无需区分主副针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电极消融针规格/型号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≥4种规格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电极针暴露区长度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0-4cm可调，步进≤0.5cm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报警及安全指标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超出最大输出电流，停止输出；心电同步提示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主机、标准键盘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配备带有显示器的主机、标准键盘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说明书或彩页或技术白皮书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包含陡脉冲治疗仪主机1台、脚踏1个、配套附件1套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2.▲技术指标负偏离≥3项，技术参数分值为0分。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3.▲技术指标和“无标识”技术指标负偏离≥7项，技术参数分值为0分。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2143"/>
        <w:gridCol w:w="1159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eastAsia="黑体"/>
                <w:bCs/>
                <w:color w:val="auto"/>
                <w:sz w:val="28"/>
                <w:szCs w:val="28"/>
                <w:u w:val="single"/>
              </w:rPr>
              <w:t>陡脉冲治疗系统</w:t>
            </w:r>
            <w:r>
              <w:rPr>
                <w:rFonts w:hint="eastAsia" w:eastAsia="黑体"/>
                <w:bCs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  <w:t>2026-JQ06-W3023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一次性使用陡脉冲电极消融针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984C21"/>
    <w:rsid w:val="05713B47"/>
    <w:rsid w:val="069A52D5"/>
    <w:rsid w:val="089A2D51"/>
    <w:rsid w:val="0A906D90"/>
    <w:rsid w:val="0AFB1280"/>
    <w:rsid w:val="0AFC796D"/>
    <w:rsid w:val="0B2226D0"/>
    <w:rsid w:val="0F470958"/>
    <w:rsid w:val="138F132E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860AB0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21C03B1"/>
    <w:rsid w:val="636B54F8"/>
    <w:rsid w:val="66F868FC"/>
    <w:rsid w:val="67484B4C"/>
    <w:rsid w:val="68923B67"/>
    <w:rsid w:val="68BE0BFC"/>
    <w:rsid w:val="696712F2"/>
    <w:rsid w:val="6A294057"/>
    <w:rsid w:val="6BD6700F"/>
    <w:rsid w:val="6D3A79B4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673</Words>
  <Characters>747</Characters>
  <Paragraphs>284</Paragraphs>
  <TotalTime>0</TotalTime>
  <ScaleCrop>false</ScaleCrop>
  <LinksUpToDate>false</LinksUpToDate>
  <CharactersWithSpaces>749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2026-04-22T10:09:40Z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