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numPr>
          <w:ilvl w:val="0"/>
          <w:numId w:val="0"/>
        </w:numPr>
        <w:adjustRightInd w:val="0"/>
        <w:snapToGrid w:val="0"/>
        <w:spacing w:line="560" w:lineRule="exact"/>
        <w:jc w:val="both"/>
        <w:rPr>
          <w:rFonts w:ascii="黑体" w:hAnsi="黑体" w:cs="黑体"/>
          <w:b w:val="0"/>
          <w:color w:val="auto"/>
          <w:sz w:val="28"/>
          <w:szCs w:val="28"/>
        </w:rPr>
      </w:pPr>
      <w:r>
        <w:rPr>
          <w:rFonts w:hint="eastAsia" w:ascii="黑体" w:hAnsi="黑体" w:cs="黑体"/>
          <w:b w:val="0"/>
          <w:color w:val="auto"/>
          <w:sz w:val="28"/>
          <w:szCs w:val="28"/>
        </w:rPr>
        <w:t>一、商务要求</w:t>
      </w:r>
      <w:r>
        <w:rPr>
          <w:rFonts w:hint="eastAsia" w:ascii="黑体" w:hAnsi="黑体" w:cs="黑体"/>
          <w:b w:val="0"/>
          <w:color w:val="auto"/>
          <w:sz w:val="28"/>
          <w:szCs w:val="28"/>
          <w:lang w:eastAsia="zh-CN"/>
        </w:rPr>
        <w:t>（均为实质性响应条款，不接受负偏离，且须在投标文件的商务技术册中单独附页承诺）</w:t>
      </w:r>
    </w:p>
    <w:tbl>
      <w:tblPr>
        <w:tblStyle w:val="4"/>
        <w:tblW w:w="9384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1"/>
        <w:gridCol w:w="2109"/>
        <w:gridCol w:w="632"/>
        <w:gridCol w:w="4834"/>
        <w:gridCol w:w="115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2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参数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性质</w:t>
            </w:r>
          </w:p>
        </w:tc>
        <w:tc>
          <w:tcPr>
            <w:tcW w:w="4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需求具体内容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备注（证明材料等其他要求）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eastAsia="zh-CN" w:bidi="ar"/>
              </w:rPr>
              <w:t>1</w:t>
            </w:r>
          </w:p>
        </w:tc>
        <w:tc>
          <w:tcPr>
            <w:tcW w:w="2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eastAsia="zh-CN" w:bidi="ar"/>
              </w:rPr>
              <w:t>交货时间、交货地点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eastAsia="zh-CN" w:bidi="ar"/>
              </w:rPr>
              <w:t>★</w:t>
            </w:r>
          </w:p>
        </w:tc>
        <w:tc>
          <w:tcPr>
            <w:tcW w:w="4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eastAsia="zh-CN" w:bidi="ar"/>
              </w:rPr>
              <w:t>合同签订后6个月内交付，交付地点由甲方指定。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eastAsia="zh-CN" w:bidi="ar"/>
              </w:rPr>
              <w:t>2</w:t>
            </w:r>
          </w:p>
        </w:tc>
        <w:tc>
          <w:tcPr>
            <w:tcW w:w="2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eastAsia="zh-CN" w:bidi="ar"/>
              </w:rPr>
              <w:t>付款及结算方式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eastAsia="zh-CN" w:bidi="ar"/>
              </w:rPr>
              <w:t>★</w:t>
            </w:r>
          </w:p>
        </w:tc>
        <w:tc>
          <w:tcPr>
            <w:tcW w:w="4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eastAsia="zh-CN" w:bidi="ar"/>
              </w:rPr>
              <w:t>合同签订后，货物验收合格后6个月内结清全部货款。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9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eastAsia="zh-CN" w:bidi="ar"/>
              </w:rPr>
              <w:t>3</w:t>
            </w:r>
          </w:p>
        </w:tc>
        <w:tc>
          <w:tcPr>
            <w:tcW w:w="2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eastAsia="zh-CN" w:bidi="ar"/>
              </w:rPr>
              <w:t>履约保证金/质量保证金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eastAsia="zh-CN" w:bidi="ar"/>
              </w:rPr>
              <w:t>★</w:t>
            </w:r>
          </w:p>
        </w:tc>
        <w:tc>
          <w:tcPr>
            <w:tcW w:w="4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eastAsia="zh-CN" w:bidi="ar"/>
              </w:rPr>
              <w:t>交付货款的5%为质量保证金，验收合格且质保期满后无息退还质量保证金。质保期3年，质保期内出现任何问题免费上门维修。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8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物资编目编码、打码贴签要求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eastAsia="zh-CN" w:bidi="ar"/>
              </w:rPr>
              <w:t>★</w:t>
            </w:r>
          </w:p>
        </w:tc>
        <w:tc>
          <w:tcPr>
            <w:tcW w:w="4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bidi="ar"/>
              </w:rPr>
              <w:t>本项目对物资的编目编码、打码贴签要求，报价供应商应当予以明确响应，相关费用包含在报价中。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eastAsia="zh-CN" w:bidi="ar"/>
              </w:rPr>
              <w:t>企业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bidi="ar"/>
              </w:rPr>
              <w:t>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知识产权和保密要求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bidi="ar"/>
              </w:rPr>
              <w:t>★</w:t>
            </w:r>
          </w:p>
        </w:tc>
        <w:tc>
          <w:tcPr>
            <w:tcW w:w="4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bidi="ar"/>
              </w:rPr>
              <w:t>投标供应商应当保证采购单位在使用该物资或其任何一部分时，不受第三方侵权指控。同时，投标供应商不得向第三方泄露采购机构提供的技术文件等材料。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bidi="ar"/>
              </w:rPr>
              <w:t>基于项目合同履行形成的知识产权和其他权益，其权属归采购单位所有，法律另有规定的除外。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eastAsia="zh-CN" w:bidi="ar"/>
              </w:rPr>
              <w:t>企业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bidi="ar"/>
              </w:rPr>
              <w:t>承诺</w:t>
            </w:r>
          </w:p>
        </w:tc>
      </w:tr>
    </w:tbl>
    <w:p>
      <w:pPr>
        <w:rPr>
          <w:rFonts w:hint="eastAsia" w:ascii="黑体" w:hAnsi="黑体" w:cs="黑体"/>
          <w:b w:val="0"/>
          <w:color w:val="auto"/>
          <w:sz w:val="28"/>
          <w:szCs w:val="28"/>
        </w:rPr>
      </w:pPr>
      <w:bookmarkStart w:id="0" w:name="_Toc128150778"/>
      <w:bookmarkStart w:id="1" w:name="_Toc127820564"/>
      <w:bookmarkStart w:id="2" w:name="_Toc150418428"/>
      <w:bookmarkStart w:id="3" w:name="_Toc130887500"/>
      <w:bookmarkStart w:id="4" w:name="_Toc128150134"/>
      <w:bookmarkStart w:id="5" w:name="_Toc132190634"/>
      <w:bookmarkStart w:id="6" w:name="_Toc128397970"/>
      <w:bookmarkStart w:id="7" w:name="_Toc128151027"/>
      <w:bookmarkStart w:id="8" w:name="_Toc152057837"/>
      <w:r>
        <w:rPr>
          <w:rFonts w:hint="eastAsia" w:ascii="黑体" w:hAnsi="黑体" w:cs="黑体"/>
          <w:b w:val="0"/>
          <w:color w:val="auto"/>
          <w:sz w:val="28"/>
          <w:szCs w:val="28"/>
        </w:rPr>
        <w:br w:type="page"/>
      </w:r>
      <w:r>
        <w:rPr>
          <w:rFonts w:hint="eastAsia" w:ascii="黑体" w:hAnsi="黑体" w:eastAsia="方正小标宋简体" w:cs="黑体"/>
          <w:b w:val="0"/>
          <w:bCs/>
          <w:color w:val="auto"/>
          <w:kern w:val="2"/>
          <w:sz w:val="28"/>
          <w:szCs w:val="28"/>
          <w:lang w:val="en-US" w:eastAsia="zh-CN" w:bidi="ar-SA"/>
        </w:rPr>
        <w:t>二、技术要求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>
      <w:pPr>
        <w:numPr>
          <w:ilvl w:val="0"/>
          <w:numId w:val="0"/>
        </w:numPr>
        <w:jc w:val="center"/>
        <w:rPr>
          <w:rFonts w:hint="eastAsia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采购需求表（物资类）</w:t>
      </w:r>
    </w:p>
    <w:tbl>
      <w:tblPr>
        <w:tblStyle w:val="4"/>
        <w:tblW w:w="946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1"/>
        <w:gridCol w:w="1389"/>
        <w:gridCol w:w="720"/>
        <w:gridCol w:w="75"/>
        <w:gridCol w:w="4418"/>
        <w:gridCol w:w="727"/>
        <w:gridCol w:w="163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需求名称</w:t>
            </w:r>
          </w:p>
        </w:tc>
        <w:tc>
          <w:tcPr>
            <w:tcW w:w="7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参数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性质</w:t>
            </w:r>
          </w:p>
        </w:tc>
        <w:tc>
          <w:tcPr>
            <w:tcW w:w="4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需求具体内容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是否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量化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备注（证明材料等其他要求）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46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技术要求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基本要求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★</w:t>
            </w:r>
          </w:p>
        </w:tc>
        <w:tc>
          <w:tcPr>
            <w:tcW w:w="44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eastAsia="zh-Hans" w:bidi="ar"/>
              </w:rPr>
              <w:t>用于将大型海棉类高分子材料切片，以及切割成需要的小块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否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技术指标1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★</w:t>
            </w:r>
          </w:p>
        </w:tc>
        <w:tc>
          <w:tcPr>
            <w:tcW w:w="44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切绵尺寸：W2000*L3000*H1200mm，平台采用输送带形式前后行走（带压辊装置）。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否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eastAsia="zh-Hans" w:bidi="ar"/>
              </w:rPr>
              <w:t>技术白皮书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eastAsia="zh-CN" w:bidi="ar"/>
              </w:rPr>
              <w:t>或实物图片或说明书或彩页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技术指标2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★</w:t>
            </w:r>
          </w:p>
        </w:tc>
        <w:tc>
          <w:tcPr>
            <w:tcW w:w="44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前后升降输送台送绵尺寸：W2000*L3000mm/2个，平台均采用爬坡带输送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否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eastAsia="zh-Hans" w:bidi="ar"/>
              </w:rPr>
              <w:t>技术白皮书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eastAsia="zh-CN" w:bidi="ar"/>
              </w:rPr>
              <w:t>或实物图片或说明书或彩页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技术指标3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★</w:t>
            </w:r>
          </w:p>
        </w:tc>
        <w:tc>
          <w:tcPr>
            <w:tcW w:w="44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竖刀面带自动磨刀装置系统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否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eastAsia="zh-Hans" w:bidi="ar"/>
              </w:rPr>
              <w:t>技术白皮书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eastAsia="zh-CN" w:bidi="ar"/>
              </w:rPr>
              <w:t>或实物图片或说明书或彩页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技术指标4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▲</w:t>
            </w:r>
          </w:p>
        </w:tc>
        <w:tc>
          <w:tcPr>
            <w:tcW w:w="44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切割方式：横刀+竖刀，循环刀切割；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否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eastAsia="zh-Hans" w:bidi="ar"/>
              </w:rPr>
              <w:t>技术白皮书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eastAsia="zh-CN" w:bidi="ar"/>
              </w:rPr>
              <w:t>或实物图片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技术指标5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★</w:t>
            </w:r>
          </w:p>
        </w:tc>
        <w:tc>
          <w:tcPr>
            <w:tcW w:w="44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切割速度：5-40m/min；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否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eastAsia="zh-Hans" w:bidi="ar"/>
              </w:rPr>
              <w:t>技术白皮书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eastAsia="zh-CN" w:bidi="ar"/>
              </w:rPr>
              <w:t>或实物图片或说明书或彩页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技术指标6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▲</w:t>
            </w:r>
          </w:p>
        </w:tc>
        <w:tc>
          <w:tcPr>
            <w:tcW w:w="44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切割材料：三聚氰胺海绵、聚酯海绵、聚氨酯海绵等。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否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eastAsia="zh-Hans" w:bidi="ar"/>
              </w:rPr>
              <w:t>技术白皮书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eastAsia="zh-CN" w:bidi="ar"/>
              </w:rPr>
              <w:t>或实物图片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技术指标7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4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机器外护罩采用烤漆面板；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整机架经过大型龙门铣进行加工，保证平整度。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否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eastAsia="zh-Hans" w:bidi="ar"/>
              </w:rPr>
              <w:t>技术白皮书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eastAsia="zh-CN" w:bidi="ar"/>
              </w:rPr>
              <w:t>或实物图片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9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技术指标8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4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路轨均采用直线滑轨，钢材均采用国标材料。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否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eastAsia="zh-Hans" w:bidi="ar"/>
              </w:rPr>
              <w:t>技术白皮书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eastAsia="zh-CN" w:bidi="ar"/>
              </w:rPr>
              <w:t>或实物图片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技术指标9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▲</w:t>
            </w:r>
          </w:p>
        </w:tc>
        <w:tc>
          <w:tcPr>
            <w:tcW w:w="44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刀带通过气缸张紧方式，刀带转速通过变频器控制；刀带采用进口材质，360度扭，锯齿型，耐用。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否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eastAsia="zh-Hans" w:bidi="ar"/>
              </w:rPr>
              <w:t>技术白皮书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eastAsia="zh-CN" w:bidi="ar"/>
              </w:rPr>
              <w:t>或实物图片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8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11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技术指标10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▲</w:t>
            </w:r>
          </w:p>
        </w:tc>
        <w:tc>
          <w:tcPr>
            <w:tcW w:w="44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器外形尺寸：总长不大于15000mm，（其中，切绵平台长不小于7100mm，升降平台长不小于3300mm×2件），宽不大于5000mm，高不大于3500mm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否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eastAsia="zh-Hans" w:bidi="ar"/>
              </w:rPr>
              <w:t>技术白皮书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eastAsia="zh-CN" w:bidi="ar"/>
              </w:rPr>
              <w:t>或实物图片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12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配置要求1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★</w:t>
            </w:r>
          </w:p>
        </w:tc>
        <w:tc>
          <w:tcPr>
            <w:tcW w:w="44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电压要求：380V，50</w:t>
            </w:r>
            <w:r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Hz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，3P。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否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配置要求2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★</w:t>
            </w:r>
          </w:p>
        </w:tc>
        <w:tc>
          <w:tcPr>
            <w:tcW w:w="44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压缩空气压力：0.5-0.8Mpa。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否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14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配置要求3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★</w:t>
            </w:r>
          </w:p>
        </w:tc>
        <w:tc>
          <w:tcPr>
            <w:tcW w:w="44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主刀轮电机：2.2KW-6极/2台。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否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配置要求4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▲</w:t>
            </w:r>
          </w:p>
        </w:tc>
        <w:tc>
          <w:tcPr>
            <w:tcW w:w="44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采用伺服电机系统控制。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否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16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配置要求5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4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内置电箱带电脑+显示屏+遥控器，方便操作。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否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17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配置要求6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4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WINDOWS操作系统，CAD制图系统。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否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18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配置要求7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★</w:t>
            </w:r>
          </w:p>
        </w:tc>
        <w:tc>
          <w:tcPr>
            <w:tcW w:w="44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配件：横刀刀带和竖刀刀带各3条，共6条，维修工具一套。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  <w:t>否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946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0" w:line="240" w:lineRule="exact"/>
              <w:jc w:val="left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▲标识的指标负偏离≥3项，投标企业技术分值为0分</w:t>
            </w:r>
          </w:p>
          <w:p>
            <w:pPr>
              <w:widowControl/>
              <w:spacing w:after="0" w:line="240" w:lineRule="auto"/>
              <w:jc w:val="left"/>
              <w:textAlignment w:val="center"/>
              <w:rPr>
                <w:rFonts w:hint="eastAsia" w:ascii="黑体" w:hAnsi="宋体" w:eastAsia="黑体" w:cs="黑体"/>
                <w:iCs/>
                <w:sz w:val="20"/>
                <w:lang w:eastAsia="zh-Hans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▲标识的指标和“无标识”指标负偏离≥5项，投标企业技术分值为0分</w:t>
            </w:r>
            <w:bookmarkStart w:id="9" w:name="_GoBack"/>
            <w:bookmarkEnd w:id="9"/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9975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outlineLvl w:val="1"/>
    </w:pPr>
    <w:rPr>
      <w:rFonts w:ascii="Arial" w:hAnsi="Arial" w:eastAsia="方正小标宋简体"/>
      <w:b/>
      <w:bCs/>
      <w:sz w:val="44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2026-05-14T00:09:45Z</dcterms:created>
  <dc:creator>DOCTOR</dc:creator>
  <cp:lastModifiedBy>DOCTOR</cp:lastModifiedBy>
  <dcterms:modified xsi:type="dcterms:W3CDTF">2026-05-14T00:10:47Z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