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ind w:firstLine="2640" w:firstLineChars="600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采购需求表（物资类）</w:t>
      </w:r>
    </w:p>
    <w:tbl>
      <w:tblPr>
        <w:tblStyle w:val="9"/>
        <w:tblW w:w="91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533"/>
        <w:gridCol w:w="895"/>
        <w:gridCol w:w="410"/>
        <w:gridCol w:w="278"/>
        <w:gridCol w:w="1985"/>
        <w:gridCol w:w="1828"/>
        <w:gridCol w:w="1046"/>
        <w:gridCol w:w="1568"/>
        <w:gridCol w:w="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采购计划</w:t>
            </w:r>
            <w:r>
              <w:rPr>
                <w:rFonts w:ascii="黑体" w:hAnsi="宋体" w:eastAsia="黑体" w:cs="黑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编号</w:t>
            </w:r>
          </w:p>
        </w:tc>
        <w:tc>
          <w:tcPr>
            <w:tcW w:w="158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</w:rPr>
              <w:t>2026-01KY-038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8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</w:rPr>
              <w:t>凝胶成像仪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/>
              </w:rPr>
              <w:t>项目预算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  <w:lang w:val="en-US" w:eastAsia="zh-CN"/>
              </w:rPr>
              <w:t>37.00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7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</w:p>
        </w:tc>
        <w:tc>
          <w:tcPr>
            <w:tcW w:w="1583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</w:p>
        </w:tc>
        <w:tc>
          <w:tcPr>
            <w:tcW w:w="1985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</w:p>
        </w:tc>
        <w:tc>
          <w:tcPr>
            <w:tcW w:w="18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最高限价（万元）</w:t>
            </w: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  <w:lang w:val="en-US" w:eastAsia="zh-CN"/>
              </w:rPr>
              <w:t>33</w:t>
            </w:r>
            <w:r>
              <w:rPr>
                <w:rFonts w:hint="eastAsia" w:ascii="黑体" w:hAnsi="宋体" w:eastAsia="黑体" w:cs="黑体"/>
                <w:sz w:val="20"/>
                <w:szCs w:val="20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性质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是否</w:t>
            </w:r>
            <w:r>
              <w:rPr>
                <w:rFonts w:ascii="黑体" w:hAnsi="宋体" w:eastAsia="黑体" w:cs="黑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量化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918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基本要求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包括但不限于核酸凝胶成像、蛋白凝胶染色成像、化学发光免疫印迹成像、光密度成像、免染成像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35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资质认证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产品须具备</w:t>
            </w:r>
            <w:r>
              <w:rPr>
                <w:rStyle w:val="29"/>
                <w:rFonts w:hint="eastAsia" w:ascii="宋体" w:hAnsi="宋体" w:cs="宋体"/>
                <w:sz w:val="20"/>
                <w:szCs w:val="20"/>
                <w:lang w:bidi="ar"/>
              </w:rPr>
              <w:t>CE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认证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提供CE认证证书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数据管理规范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软件数据管理符合</w:t>
            </w:r>
            <w:r>
              <w:rPr>
                <w:rStyle w:val="29"/>
                <w:rFonts w:hint="eastAsia" w:ascii="宋体" w:hAnsi="宋体" w:cs="宋体"/>
                <w:sz w:val="20"/>
                <w:szCs w:val="20"/>
                <w:lang w:bidi="ar"/>
              </w:rPr>
              <w:t>21 CFR Part 11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标准的电子记录和电子签名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生产企业生产管理规范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制造商具有</w:t>
            </w:r>
            <w:r>
              <w:rPr>
                <w:rStyle w:val="29"/>
                <w:rFonts w:hint="eastAsia" w:ascii="宋体" w:hAnsi="宋体" w:cs="宋体"/>
                <w:sz w:val="20"/>
                <w:szCs w:val="20"/>
                <w:lang w:bidi="ar"/>
              </w:rPr>
              <w:t>ISO9001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Style w:val="29"/>
                <w:rFonts w:hint="eastAsia" w:ascii="宋体" w:hAnsi="宋体" w:cs="宋体"/>
                <w:sz w:val="20"/>
                <w:szCs w:val="20"/>
                <w:lang w:bidi="ar"/>
              </w:rPr>
              <w:t>ISO13485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等标准。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4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技术和性能参数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CCD </w:t>
            </w:r>
            <w:r>
              <w:rPr>
                <w:rStyle w:val="30"/>
                <w:rFonts w:hint="default"/>
                <w:b/>
                <w:bCs/>
                <w:sz w:val="20"/>
                <w:szCs w:val="20"/>
                <w:lang w:bidi="ar"/>
              </w:rPr>
              <w:t>检测器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增强型超冷科研级灰度CCD  检测器，分辨率 6.1M pixel（2,758x2,208）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仪器控制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≥11 英寸触摸屏控制，支持多点触控功能，无需外接电脑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5.3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Q/E</w:t>
            </w:r>
            <w:r>
              <w:rPr>
                <w:rStyle w:val="30"/>
                <w:rFonts w:hint="default"/>
                <w:b/>
                <w:bCs/>
                <w:sz w:val="20"/>
                <w:szCs w:val="20"/>
                <w:lang w:bidi="ar"/>
              </w:rPr>
              <w:t>值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425nm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处绝对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Q/E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值：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70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％，绝对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Q/E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峰值：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75%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5.4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数据采集范围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16bit 数据采集（65,536 灰度级，4.8OD），所有样品动力学范围&gt;4 个数量级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5.5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样品托盘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种：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Chemi/UV/Stain-Free 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样品盘（化学发光、紫外和免染样品成像）；白光样品盘（将透射紫外转换为透射白光，考染、银染及其他蛋白成像）；蓝光样品盘（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SYBR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®等荧光染料）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5.6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镜头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大光圈定焦镜头，电动马达控制CCD相机的移动范围≥10cm，变焦无需改变样品位置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5.7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光源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反射白光，透射紫外，透射白光，透射蓝光（可选）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5.8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托盘识别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智能样品托盘技术，自动识别插入的样品盘类型，选择成像功能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5.9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UV</w:t>
            </w:r>
            <w:r>
              <w:rPr>
                <w:rStyle w:val="30"/>
                <w:rFonts w:hint="default"/>
                <w:b/>
                <w:bCs/>
                <w:sz w:val="20"/>
                <w:szCs w:val="20"/>
                <w:lang w:bidi="ar"/>
              </w:rPr>
              <w:t>防护板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可选配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UV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防护板，方便直接用紫外平台进行样品肉眼观察或切胶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5.10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成像面积 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成像面积≥16.8 x 21 cm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5.11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曝光模式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自动模式，手动模式， 累积曝光模式，化学发光预览模式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5.12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免染成像功能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具有蛋白免染成像专用通道，一键免染成像时间≤5分钟，可以实现样品蛋白质条带电泳结束之后直接成像，无需固定、染色和脱色；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技术白皮书或企业承诺或彩页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5.13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累积曝光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累积曝光多次成像：可以在很长曝光时间内多次成像，且每次成像的曝光时间可以累积，从而避免反复曝光，而且用户可以挑选最中意的图像保存。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5.14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紫外波长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 xml:space="preserve">紫外波长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302nm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5.15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滤光片轮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全自动滤光片轮≥8位，滤光片置于镜头与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CCD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芯片之间，减少非特异波长杂光进入，降低荧光成像背景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5.16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化学发光专用滤光片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具备647SP滤光片用于化学发光，可去除热景，保证高信比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5.17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平场扫描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动态平场扫描技术，均一性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CV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≤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5%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5.18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优化曝光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自动优化曝光功能，所有成像过程均保持自动对焦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5.19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像素合并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标配有像素合并功能：≥五种，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2x2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3x3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4x4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6x6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8x8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5.20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多通道重合拍照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可实现多通道化学发光、免染结果的重合比较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5.21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具有总蛋白免染成像功能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无需固定、染色和脱色、无需丽春红染色，配合免染胶即可进行总蛋白成像；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232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5.22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转印过程质控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提供原厂免染成像解决方案，支持蛋白电泳、转印实验过程每步可视化；可拍摄免染胶基质内含有特殊的三卤化合物，该化合物在特定紫外光激发下可与蛋白质结合，并发出荧光。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技术白皮书或企业承诺或彩页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5.23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提供原厂快速转印方案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转印时间≤10min。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5.24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内存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仪器内置存储空间≥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120G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5.25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软件功能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全自动专业成像及分析软件对系统进行自动控制，包括图像采集后处理、条带及泳道优化、灰度值定量分析、分析图像及报告输出，自动条带检测，自动分子量测算，自动条带浓度测算，总蛋白定量测算分析功能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9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5.26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中英文支持软件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提供中英文版的操作软件和分析软件分析软件支持Windows PC及Mac OS系统，并且具有永久使用权限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9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5.27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结果输出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提供符合文献要求的包含仪器信息(型号、序列号)，曝光参数(光源、滤光片、曝光时长、模式)，不可修改的图像采集时间，灰度值RA范围的黑白16位raw data原始数据结果输出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9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5.28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验收标准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918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交货时间、交货地点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合同签订后3个月内交付，交付地点由甲方指定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付款及结算方式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签订合同付（预付）0%，物资到货（服务完成）验收后付95%。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履约保证金/质量保证金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质保期满且无质量问题支付剩余5%（不超过5%）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产品包装和运输要求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（质保）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保修年限不低于1年，全年故障停机时间不高于5%（按365日/年计算)。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原厂授权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  <w:t>或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（质保）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7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（质保）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提供不少于1人次、1天的工程师维修培训。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（响应时间）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维修响应时间≤6小时，维修到达现场时间≤8小时。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2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9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备品备件要求（零配件）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由供应商承诺项目使用寿命周期内保证零配件供应。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物资编目编码、打码贴签要求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知识产权与保密要求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36" w:hRule="atLeast"/>
          <w:jc w:val="center"/>
        </w:trPr>
        <w:tc>
          <w:tcPr>
            <w:tcW w:w="20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技术偏离要求</w:t>
            </w:r>
          </w:p>
        </w:tc>
        <w:tc>
          <w:tcPr>
            <w:tcW w:w="71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▲标识的指标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负偏离≥4项，投标企业技术分值为</w:t>
            </w:r>
            <w:r>
              <w:rPr>
                <w:rFonts w:ascii="黑体" w:hAnsi="黑体" w:eastAsia="黑体" w:cs="黑体"/>
                <w:kern w:val="0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▲标识的指标和“无标识”指标负偏离≥7项，投标企业技术分值为</w:t>
            </w:r>
            <w:r>
              <w:rPr>
                <w:rFonts w:ascii="黑体" w:hAnsi="黑体" w:eastAsia="黑体" w:cs="黑体"/>
                <w:kern w:val="0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分</w:t>
            </w:r>
          </w:p>
        </w:tc>
      </w:tr>
    </w:tbl>
    <w:p>
      <w:pPr>
        <w:pStyle w:val="13"/>
        <w:rPr>
          <w:rFonts w:hint="eastAsia" w:cs="黑体"/>
          <w:b/>
          <w:bCs/>
          <w:color w:val="0D0D0D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BBAA13-79DD-4CAC-8049-B06E1105A48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Y_MEDREF_DOCUID" w:val="{820B8431-5C8F-478C-B65C-B773F348DCB0}"/>
    <w:docVar w:name="KY_MEDREF_VERSION" w:val="3"/>
  </w:docVars>
  <w:rsids>
    <w:rsidRoot w:val="245A65B7"/>
    <w:rsid w:val="00092BD6"/>
    <w:rsid w:val="00165E02"/>
    <w:rsid w:val="00324CFE"/>
    <w:rsid w:val="003D24B6"/>
    <w:rsid w:val="004475FE"/>
    <w:rsid w:val="0049265B"/>
    <w:rsid w:val="004D511C"/>
    <w:rsid w:val="00675A18"/>
    <w:rsid w:val="00840999"/>
    <w:rsid w:val="008465B9"/>
    <w:rsid w:val="00985527"/>
    <w:rsid w:val="00A40E36"/>
    <w:rsid w:val="00B1314D"/>
    <w:rsid w:val="00C973AF"/>
    <w:rsid w:val="00D978FF"/>
    <w:rsid w:val="00E36D79"/>
    <w:rsid w:val="00F01FA9"/>
    <w:rsid w:val="1E1670F2"/>
    <w:rsid w:val="20A87CA6"/>
    <w:rsid w:val="22291367"/>
    <w:rsid w:val="245A65B7"/>
    <w:rsid w:val="26F94A59"/>
    <w:rsid w:val="2FBC180A"/>
    <w:rsid w:val="3932296D"/>
    <w:rsid w:val="3B5B2148"/>
    <w:rsid w:val="3C3B4BF5"/>
    <w:rsid w:val="3F381EE7"/>
    <w:rsid w:val="46431172"/>
    <w:rsid w:val="54386F80"/>
    <w:rsid w:val="54FF396A"/>
    <w:rsid w:val="582D23C3"/>
    <w:rsid w:val="5B093FF8"/>
    <w:rsid w:val="5FC93AB7"/>
    <w:rsid w:val="616846E0"/>
    <w:rsid w:val="621C6331"/>
    <w:rsid w:val="66020658"/>
    <w:rsid w:val="6605726C"/>
    <w:rsid w:val="69AD4007"/>
    <w:rsid w:val="73560934"/>
    <w:rsid w:val="77624871"/>
    <w:rsid w:val="79227CA0"/>
    <w:rsid w:val="79B14488"/>
    <w:rsid w:val="7A370B1D"/>
    <w:rsid w:val="7E4A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7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Plain Text"/>
    <w:basedOn w:val="1"/>
    <w:link w:val="25"/>
    <w:qFormat/>
    <w:uiPriority w:val="0"/>
    <w:pPr>
      <w:widowControl/>
      <w:spacing w:line="360" w:lineRule="auto"/>
      <w:ind w:left="-150" w:leftChars="-150"/>
    </w:pPr>
    <w:rPr>
      <w:rFonts w:ascii="宋体" w:hAnsi="Courier New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annotation subject"/>
    <w:basedOn w:val="2"/>
    <w:next w:val="2"/>
    <w:link w:val="28"/>
    <w:qFormat/>
    <w:uiPriority w:val="0"/>
    <w:rPr>
      <w:b/>
      <w:bCs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paragraph" w:customStyle="1" w:styleId="13">
    <w:name w:val="Default"/>
    <w:qFormat/>
    <w:uiPriority w:val="99"/>
    <w:pPr>
      <w:widowControl w:val="0"/>
      <w:autoSpaceDE w:val="0"/>
      <w:autoSpaceDN w:val="0"/>
    </w:pPr>
    <w:rPr>
      <w:rFonts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14">
    <w:name w:val="font10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141"/>
    <w:basedOn w:val="10"/>
    <w:qFormat/>
    <w:uiPriority w:val="99"/>
    <w:rPr>
      <w:rFonts w:ascii="宋体" w:hAnsi="宋体" w:eastAsia="宋体" w:cs="宋体"/>
      <w:i/>
      <w:color w:val="000000"/>
      <w:sz w:val="24"/>
      <w:szCs w:val="24"/>
      <w:u w:val="none"/>
    </w:rPr>
  </w:style>
  <w:style w:type="character" w:customStyle="1" w:styleId="16">
    <w:name w:val="font16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single"/>
    </w:rPr>
  </w:style>
  <w:style w:type="character" w:customStyle="1" w:styleId="17">
    <w:name w:val="font11"/>
    <w:basedOn w:val="10"/>
    <w:qFormat/>
    <w:uiPriority w:val="99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111"/>
    <w:basedOn w:val="10"/>
    <w:qFormat/>
    <w:uiPriority w:val="99"/>
    <w:rPr>
      <w:rFonts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9">
    <w:name w:val="font7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20">
    <w:name w:val="font2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basedOn w:val="10"/>
    <w:qFormat/>
    <w:uiPriority w:val="99"/>
    <w:rPr>
      <w:rFonts w:ascii="宋体" w:hAnsi="宋体" w:eastAsia="宋体" w:cs="宋体"/>
      <w:i/>
      <w:color w:val="000000"/>
      <w:sz w:val="24"/>
      <w:szCs w:val="24"/>
      <w:u w:val="none"/>
    </w:rPr>
  </w:style>
  <w:style w:type="character" w:customStyle="1" w:styleId="22">
    <w:name w:val="font41"/>
    <w:basedOn w:val="10"/>
    <w:qFormat/>
    <w:uiPriority w:val="99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23">
    <w:name w:val="font31"/>
    <w:basedOn w:val="10"/>
    <w:qFormat/>
    <w:uiPriority w:val="99"/>
    <w:rPr>
      <w:rFonts w:ascii="楷体_GB2312" w:eastAsia="楷体_GB2312" w:cs="楷体_GB2312"/>
      <w:color w:val="000000"/>
      <w:sz w:val="18"/>
      <w:szCs w:val="18"/>
      <w:u w:val="none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纯文本 字符"/>
    <w:link w:val="5"/>
    <w:qFormat/>
    <w:uiPriority w:val="0"/>
    <w:rPr>
      <w:rFonts w:ascii="宋体" w:hAnsi="Courier New"/>
      <w:szCs w:val="24"/>
    </w:rPr>
  </w:style>
  <w:style w:type="character" w:customStyle="1" w:styleId="26">
    <w:name w:val="NormalCharacter"/>
    <w:semiHidden/>
    <w:qFormat/>
    <w:uiPriority w:val="0"/>
  </w:style>
  <w:style w:type="character" w:customStyle="1" w:styleId="27">
    <w:name w:val="批注文字 字符"/>
    <w:basedOn w:val="10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8">
    <w:name w:val="批注主题 字符"/>
    <w:basedOn w:val="27"/>
    <w:link w:val="8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9">
    <w:name w:val="font51"/>
    <w:basedOn w:val="10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30">
    <w:name w:val="font6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1</Pages>
  <Words>517</Words>
  <Characters>2951</Characters>
  <Lines>24</Lines>
  <Paragraphs>6</Paragraphs>
  <TotalTime>16</TotalTime>
  <ScaleCrop>false</ScaleCrop>
  <LinksUpToDate>false</LinksUpToDate>
  <CharactersWithSpaces>3462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2024-10-16T09:39:00Z</dcterms:created>
  <dc:creator>Doctor</dc:creator>
  <cp:lastModifiedBy>DOCTOR</cp:lastModifiedBy>
  <cp:lastPrinted>2026-02-12T12:45:00Z</cp:lastPrinted>
  <dcterms:modified xsi:type="dcterms:W3CDTF">2026-05-15T03:18:01Z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KSOTemplateDocerSaveRecord">
    <vt:lpwstr>eyJoZGlkIjoiODE2ZjEzMmFkNjY2NDkzODg3N2FlNDNlMWMzYWZiNDkiLCJ1c2VySWQiOiIyMzI2NzQ1MDUifQ==</vt:lpwstr>
  </property>
  <property fmtid="{D5CDD505-2E9C-101B-9397-08002B2CF9AE}" pid="4" name="ICV">
    <vt:lpwstr>E4308F547BC144A8A4C0770C3D5580E6_12</vt:lpwstr>
  </property>
</Properties>
</file>