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112317781"/>
      <w:bookmarkStart w:id="1" w:name="_Toc130888005"/>
      <w:bookmarkStart w:id="2" w:name="_Toc130661176"/>
      <w:bookmarkStart w:id="3" w:name="_Toc132186973"/>
      <w:bookmarkStart w:id="4" w:name="_Toc150421246"/>
      <w:bookmarkStart w:id="5" w:name="_Toc21632"/>
      <w:bookmarkStart w:id="6" w:name="_Toc30564"/>
      <w:bookmarkStart w:id="7" w:name="_Toc27444"/>
      <w:bookmarkStart w:id="8" w:name="_Toc9692"/>
      <w:bookmarkStart w:id="9" w:name="_Toc132191257"/>
      <w:bookmarkStart w:id="10" w:name="_Toc128154366"/>
      <w:bookmarkStart w:id="11" w:name="_Toc32050"/>
      <w:bookmarkStart w:id="12" w:name="_Toc128470293"/>
      <w:bookmarkStart w:id="13" w:name="_Toc3767"/>
      <w:bookmarkStart w:id="14" w:name="_Toc112768491"/>
      <w:bookmarkStart w:id="15" w:name="_Toc28545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6" w:name="_Toc128470294"/>
      <w:bookmarkStart w:id="17" w:name="_Toc32238"/>
      <w:bookmarkStart w:id="18" w:name="_Toc132191258"/>
      <w:bookmarkStart w:id="19" w:name="_Toc132186974"/>
      <w:bookmarkStart w:id="20" w:name="_Toc9824"/>
      <w:bookmarkStart w:id="21" w:name="_Toc128154367"/>
      <w:bookmarkStart w:id="22" w:name="_Toc112768493"/>
      <w:bookmarkStart w:id="23" w:name="_Toc130888006"/>
      <w:bookmarkStart w:id="24" w:name="_Toc22977"/>
      <w:bookmarkStart w:id="25" w:name="_Toc14060"/>
      <w:bookmarkStart w:id="26" w:name="_Toc6602"/>
      <w:bookmarkStart w:id="27" w:name="_Toc112681847"/>
      <w:bookmarkStart w:id="28" w:name="_Toc22203"/>
      <w:bookmarkStart w:id="29" w:name="_Toc13168"/>
      <w:bookmarkStart w:id="30" w:name="_Toc150421247"/>
      <w:bookmarkStart w:id="31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6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1520"/>
        <w:gridCol w:w="637"/>
        <w:gridCol w:w="4588"/>
        <w:gridCol w:w="111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合同签订后，货物验收合格后6个月内结清全部货款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在结清货款前，中标供应商根据医院合同执行部门出具的质保金缴纳凭证，向医院财务部门交纳合同总金额5%作为质量保证金，质保期满后无息退还质量保证金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保修年限不低于1年，全年故障停机时间不高于5%（按365日/年计算)。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保修期内免费提供定期设备维护保养服务，免费提供使用培训。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提供不少于3人次、1天的工程师维修培训。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维修响应时间≤0.5个工作日（京内）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（零配件）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企业承诺并明确具体年限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描述应提供的配套专修工具和使用工具。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bookmarkEnd w:id="31"/>
    <w:p>
      <w:pPr>
        <w:pStyle w:val="4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32" w:name="_Toc128151027"/>
      <w:bookmarkStart w:id="33" w:name="_Toc128150134"/>
      <w:bookmarkStart w:id="34" w:name="_Toc127820564"/>
      <w:bookmarkStart w:id="35" w:name="_Toc150418428"/>
      <w:bookmarkStart w:id="36" w:name="_Toc132190634"/>
      <w:bookmarkStart w:id="37" w:name="_Toc130887500"/>
      <w:bookmarkStart w:id="38" w:name="_Toc152057837"/>
      <w:bookmarkStart w:id="39" w:name="_Toc128150778"/>
      <w:bookmarkStart w:id="40" w:name="_Toc128397970"/>
      <w:bookmarkStart w:id="41" w:name="_Toc12772"/>
      <w:bookmarkStart w:id="42" w:name="_Toc27583"/>
      <w:r>
        <w:rPr>
          <w:rFonts w:hint="eastAsia"/>
          <w:b w:val="0"/>
          <w:bCs w:val="0"/>
        </w:rPr>
        <w:t>技术要求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tbl>
      <w:tblPr>
        <w:tblStyle w:val="6"/>
        <w:tblW w:w="5000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662"/>
        <w:gridCol w:w="802"/>
        <w:gridCol w:w="728"/>
        <w:gridCol w:w="1272"/>
        <w:gridCol w:w="1700"/>
        <w:gridCol w:w="981"/>
        <w:gridCol w:w="488"/>
        <w:gridCol w:w="95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8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  <w:t>2026-JQ06-W3072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输尿管镜操作镜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用于泌尿系疾病的诊治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标准规范1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具备CFDA（NMPA）认证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输尿管镜具备CE认证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输尿管镜头端直径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≤8Fr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输尿管镜鞘管直径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≤10Fr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视向角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≤12°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工作长度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≥430mm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工作通道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可通过一个5Fr器械或两个3Fr器械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视场中心角分辨力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≥1.5c/(°)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光通量变化率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内窥镜经灭菌消毒试验后，其照明光路的光能积分透过率应保持稳定，用输出通光率衡量，光通量变化率≤20%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有效景深范围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0-150mm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灭菌方式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可134℃高温高压灭菌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镜体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镜体采用一体式设计，带有两个进出水接口，两个器械通道入口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防水密封性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双层密封防漏水设计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配套器械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导光束与输尿管镜同品牌，与输尿管镜直接连接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导光束直径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直径≤3mm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导光束长度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长度≥3m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活检钳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直径≤5Fr，长度≥580mm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异物钳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直径≤5Fr，长度≥580mm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4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输尿管镜操作镜及器械*3套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（每套包含：输尿管镜1根，导光束1条，异物钳5把，活检钳2把）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420" w:leftChars="0" w:hanging="420" w:hangingChars="200"/>
              <w:jc w:val="left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lang w:val="en-US" w:eastAsia="zh-CN"/>
              </w:rPr>
              <w:t>注：1.★指标为必须响应指标，任意一项不满足要求即做废标处理；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bookmarkStart w:id="43" w:name="_GoBack"/>
      <w:bookmarkEnd w:id="4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4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2026-06-12T07:13:21Z</dcterms:created>
  <dc:creator>admin</dc:creator>
  <cp:lastModifiedBy>admin</cp:lastModifiedBy>
  <dcterms:modified xsi:type="dcterms:W3CDTF">2026-06-12T07:15:33Z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