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Lines="50" w:afterLines="50" w:line="572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</w:p>
    <w:p>
      <w:pPr>
        <w:overflowPunct w:val="0"/>
        <w:spacing w:beforeLines="50" w:afterLines="50" w:line="572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6"/>
        <w:tblpPr w:leftFromText="180" w:rightFromText="180" w:vertAnchor="text" w:horzAnchor="page" w:tblpX="1562" w:tblpY="807"/>
        <w:tblOverlap w:val="never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669"/>
        <w:gridCol w:w="720"/>
        <w:gridCol w:w="720"/>
        <w:gridCol w:w="75"/>
        <w:gridCol w:w="1095"/>
        <w:gridCol w:w="2115"/>
        <w:gridCol w:w="1208"/>
        <w:gridCol w:w="727"/>
        <w:gridCol w:w="12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</w:p>
        </w:tc>
        <w:tc>
          <w:tcPr>
            <w:tcW w:w="1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项目名称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牙科综合治疗台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最高限价（万元）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序号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性质</w:t>
            </w:r>
          </w:p>
        </w:tc>
        <w:tc>
          <w:tcPr>
            <w:tcW w:w="4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用于口腔疾病检查、治疗、手术操作，具有管路消毒系统，纯电机驱动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注册证或彩页或相关技术文件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具备NMPA/CFDA认证，同时具备CE认证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认证材料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认证标准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CE认证应当符合医疗器械法规（MDR）Regulation (EU) 2017/745的要求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认证材料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整体设计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地箱与侧箱采用分体式连接，患者椅独立升降，器械台及手术灯连接在侧箱上，不因椅位变化而改变位置，整机内部采用铸铝结构件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地箱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采用隐藏内置式地箱设计、内有水及空气过滤器、水压及气压调节阀和压力表，无外置箱体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患者椅扶手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扶手采用弧形扶手设计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患者椅升降高度范围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最低高度≤410mm，最高高度≥700mm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患者椅最大承重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≥160kg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患者椅设计方式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人体工程学椅背运动设计，椅面和靠背以补偿运动方式运动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患者椅头枕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采用机械多关节头枕设计，可连续调节头枕倾斜度和高度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2"/>
              <w:rPr>
                <w:rFonts w:hint="default"/>
              </w:rPr>
            </w:pPr>
            <w:r>
              <w:t>11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患者椅安全功能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具备≥7组安全保护开关，具备安全保护功能，工作时机椅互锁，器械安全锁定，椅位运行遇障碍时安全锁定功能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医生单元设计方式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下挂式医生单元≥4组，手机位≥4组管路均具有光纤功能，1组原厂光纤6用枪；具有延迟喷气，有防回吸功能，预防交叉感染；吸唾器头、吸唾器管路均可拆卸清洗消毒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显示屏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机身内置彩色液晶触摸屏界面，可触控进行机械的设置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</w:p>
          <w:p>
            <w:pPr>
              <w:pStyle w:val="2"/>
              <w:rPr>
                <w:rFonts w:hint="default"/>
              </w:rPr>
            </w:pPr>
            <w:r>
              <w:t>14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医生模式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具有≥2组不同医生模式，每组医生程序分别各有4组程序椅位可储存椅位、器械的转速等多种数据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医生控制面板功能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具备控制电动马达正、反转；控制手机光纤、喷雾；控制痰盂和水杯的出水及时间设定；根管模式,定时等功能，可根据医生操作习惯进行多用户个性化设置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六用枪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原厂制造，具备可拆卸消毒外壳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电动马达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原厂无碳刷电动马达（提供独立注册证），或可用治疗台原厂控制屏控制的无碳刷电动马达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电动马达转速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最低转速≤100rpm，最高转速≥40000rpm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19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电动马达功能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具有常规功能及根管治疗功能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具有根管长度测量及根管治疗程序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多功能脚控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数字化控制，单踏板，多功能独立脚控；能够只通过一个独立的踏板或拨杆，控制椅位位置、马达旋转方向、器械的水、气开关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产品彩页、说明书及相关技术文件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手术灯LED光源类型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LED照明系统，具备白色、黄色及混合光，感应控制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手术灯亮度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最大光强度≥40000Lux可调节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手术灯色温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最低≤4000K，最高≥6000K，色温无极调节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手术灯控制方式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同时具备感应式控制，手动控制，自动程序控制三种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灯头旋转角度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多轴旋转，灯头在轴向位可分别向左或向右旋转≥45度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医生器械挂架数量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≥5个器械挂架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医生器械台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下挂式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助手器械台设计方式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助手操作台采用落地式结构，或采用痰盂下方连接固定,助手器械台挂架数量≥4个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29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痰盂及水杯注水器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可旋转痰盂，具有水加热系统，具有防碰撞保护装置，痰盂旋转时自动保护，可拆卸清洗消毒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锁定功能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医生控制台悬臂具备气锁固定功能；具备清洁锁屏键，可一键锁定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数据传输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具有内置网络接口，方便连接影像数据，可进行软件的诊断、设置和固件升级等服务功能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联动功能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具备灯椅联动功能手术灯在治疗位时自动打开，调整椅位时自动关闭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全自动管路消毒系统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具备全自动的快速消毒冲洗模式,具备管路消毒接口，可同时消毒多个器械管路，深度高级消毒模式，支持一键启动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消毒方式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治疗台关键污染接触部件均可拆卸，消毒或高温高压灭菌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消毒液水箱配置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内置双水箱自动混合配比消毒液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产品彩页、说明书或技术白皮书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防回吸设计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具备防回吸系统及主动化器械延时喷气清洁功能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</w:rPr>
              <w:t>37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水气分离器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38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计时器功能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具备，有提示音提醒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39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紧急停止安全开关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40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报警及安全指标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设备指标异常提示和安全报警声、光指示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41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医患交流系统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42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医患交流系统屏幕、支架及控制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具备高清内窥镜带显示屏及支架一套，可通过控制开关控制内窥镜图像获取、保存、内窥镜图像静态和动态转换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43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根管功能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具备内置根管治疗功能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产品彩页或说明书或相关技术文件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44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种植功能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　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可升级种植功能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45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配置要求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 xml:space="preserve">1.综合治疗台1套；医生椅、护士椅各 1把   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 xml:space="preserve">2.原厂光纤电动马达 1个             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 xml:space="preserve">3.原厂光纤快接头2个及光纤高速手机 4支、低速直机2支、1：1低速弯机2支、6：1根管治疗用弯机2支        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4.内置光纤洁牙机1套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 xml:space="preserve">5.原厂同品牌多功能枪2套（配置4个多用枪头）                                    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 xml:space="preserve">6.洁牙手柄3个，工作尖6个              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 xml:space="preserve">7.外置无线LED光固化灯1套               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 xml:space="preserve">8.儿童椅垫                               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 xml:space="preserve">9.旋转式托盘                           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 xml:space="preserve">10.第六件器械支架                        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 xml:space="preserve">11.医患交流系统                     </w:t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12.水气快接头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 w:cs="宋体"/>
                <w:sz w:val="20"/>
              </w:rPr>
            </w:pPr>
            <w:r>
              <w:rPr>
                <w:rFonts w:hint="eastAsia" w:ascii="黑体" w:hAnsi="黑体" w:eastAsia="黑体"/>
                <w:sz w:val="20"/>
              </w:rPr>
              <w:t>企业承诺及配置清单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经济要求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合同签订后接甲方通知3个月内交付，交付地点由甲方指定。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签订合同付（预付）0%，物资到货（服务完成）验收后付95% ，验收合格后满一年无质量问题支付剩余5%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履约保证金和质量保证金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验收合格后满一年无质量问题支付剩余5%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产品包装和运输要求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按照国家、行业相关标准规范，产品确保包装完好，运输确保不对产品造成损伤。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售后服务1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原厂保修年限不低于5年，全年故障停机时间不高于5%（按365日/年计算)。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原厂授权或企业承诺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售后服务2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保修期内免费提供定期维护保养服务，免费升级和维护软件，免费提供使用培训。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售后服务3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提供不少于3人次、3天的工程师维修培训。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售后服务4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br w:type="textWrapping"/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（响应时间）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维修响应时间≤2小时，维修到达现场时间≤12小时。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备品备件要求（零配件）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由供应商承诺项目10年内保证零配件供应。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知识产权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11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物资编目编码、打码贴签要求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/>
                <w:iCs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i/>
                <w:iCs/>
                <w:kern w:val="0"/>
                <w:sz w:val="20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i/>
                <w:iCs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采购实施建议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采购方式</w:t>
            </w:r>
          </w:p>
        </w:tc>
        <w:tc>
          <w:tcPr>
            <w:tcW w:w="717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 xml:space="preserve">□公开招标    □邀请招标   </w:t>
            </w:r>
            <w:r>
              <w:rPr>
                <w:rFonts w:hint="eastAsia" w:ascii="MS Mincho" w:hAnsi="MS Mincho" w:eastAsia="MS Mincho" w:cs="MS Mincho"/>
                <w:kern w:val="0"/>
                <w:sz w:val="20"/>
              </w:rPr>
              <w:t>☑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 xml:space="preserve"> 竞争性谈判    □单一来源     □询价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sz w:val="20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</w:rPr>
              <w:t>评审方法</w:t>
            </w:r>
          </w:p>
        </w:tc>
        <w:tc>
          <w:tcPr>
            <w:tcW w:w="717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</w:rPr>
            </w:pPr>
            <w:r>
              <w:rPr>
                <w:rFonts w:hint="eastAsia" w:ascii="MS Mincho" w:hAnsi="MS Mincho" w:eastAsia="MS Mincho" w:cs="MS Mincho"/>
                <w:kern w:val="0"/>
                <w:sz w:val="20"/>
              </w:rPr>
              <w:t>☑</w:t>
            </w:r>
            <w:r>
              <w:rPr>
                <w:rFonts w:hint="eastAsia" w:ascii="黑体" w:hAnsi="宋体" w:eastAsia="黑体" w:cs="黑体"/>
                <w:kern w:val="0"/>
                <w:sz w:val="20"/>
              </w:rPr>
              <w:t>综合评分法      □质量优先法      □经评审的最低价法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技术偏离要求</w:t>
            </w:r>
          </w:p>
        </w:tc>
        <w:tc>
          <w:tcPr>
            <w:tcW w:w="7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宋体" w:eastAsia="黑体" w:cs="黑体"/>
                <w:color w:val="000000"/>
                <w:kern w:val="0"/>
                <w:sz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▲标识的指标负偏离≥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</w:rPr>
              <w:t>项，投标企业技术分值为0分</w:t>
            </w:r>
          </w:p>
          <w:p>
            <w:pPr>
              <w:pStyle w:val="2"/>
              <w:rPr>
                <w:rFonts w:hint="default"/>
              </w:rPr>
            </w:pPr>
            <w:r>
              <w:rPr>
                <w:rFonts w:hAnsi="宋体" w:cs="黑体"/>
                <w:sz w:val="20"/>
                <w:szCs w:val="20"/>
              </w:rPr>
              <w:t>▲标识的指标和“无标识”指标负偏离≥</w:t>
            </w:r>
            <w:r>
              <w:rPr>
                <w:rFonts w:hint="eastAsia" w:hAnsi="宋体" w:cs="黑体"/>
                <w:sz w:val="20"/>
                <w:szCs w:val="20"/>
                <w:lang w:val="en-US" w:eastAsia="zh-CN"/>
              </w:rPr>
              <w:t>10</w:t>
            </w:r>
            <w:r>
              <w:rPr>
                <w:rFonts w:hAnsi="宋体" w:cs="黑体"/>
                <w:sz w:val="20"/>
                <w:szCs w:val="20"/>
              </w:rPr>
              <w:t>项，投标</w:t>
            </w:r>
            <w:bookmarkStart w:id="0" w:name="_GoBack"/>
            <w:bookmarkEnd w:id="0"/>
            <w:r>
              <w:rPr>
                <w:rFonts w:hAnsi="宋体" w:cs="黑体"/>
                <w:sz w:val="20"/>
                <w:szCs w:val="20"/>
              </w:rPr>
              <w:t>企业技术分值为0分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3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afterLines="20" w:line="30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注：1.★指标为必须响应指标，任意一项不满足要求即做废标处理；</w:t>
            </w:r>
          </w:p>
          <w:p>
            <w:pPr>
              <w:widowControl/>
              <w:spacing w:afterLines="20" w:line="300" w:lineRule="exact"/>
              <w:ind w:left="420" w:leftChars="200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2.★及▲标识的指标，采购单位要逐条明确证明材料，无法明确的默认由企业提供承诺；</w:t>
            </w:r>
          </w:p>
          <w:p>
            <w:pPr>
              <w:widowControl/>
              <w:spacing w:afterLines="20" w:line="300" w:lineRule="exact"/>
              <w:ind w:left="420" w:leftChars="200"/>
              <w:jc w:val="left"/>
              <w:textAlignment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3.经济要求不接受企业负偏离；</w:t>
            </w:r>
          </w:p>
        </w:tc>
      </w:tr>
    </w:tbl>
    <w:p>
      <w:pPr>
        <w:pStyle w:val="2"/>
        <w:rPr>
          <w:rFonts w:hint="default" w:ascii="方正小标宋简体" w:hAnsi="方正小标宋简体" w:eastAsia="方正小标宋简体" w:cs="方正小标宋简体"/>
          <w:sz w:val="2"/>
          <w:szCs w:val="2"/>
        </w:rPr>
      </w:pPr>
    </w:p>
    <w:p>
      <w:pPr>
        <w:pStyle w:val="3"/>
        <w:spacing w:line="572" w:lineRule="exact"/>
        <w:ind w:firstLine="640"/>
        <w:rPr>
          <w:rFonts w:ascii="黑体" w:hAnsi="黑体" w:eastAsia="黑体" w:cs="黑体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172A27"/>
    <w:rsid w:val="000033AA"/>
    <w:rsid w:val="000B525F"/>
    <w:rsid w:val="00172A27"/>
    <w:rsid w:val="0017555E"/>
    <w:rsid w:val="001C2F26"/>
    <w:rsid w:val="001E33ED"/>
    <w:rsid w:val="00267216"/>
    <w:rsid w:val="002A4878"/>
    <w:rsid w:val="00377E3C"/>
    <w:rsid w:val="003E0206"/>
    <w:rsid w:val="004875AD"/>
    <w:rsid w:val="005E256C"/>
    <w:rsid w:val="006748D6"/>
    <w:rsid w:val="006E1776"/>
    <w:rsid w:val="007060E9"/>
    <w:rsid w:val="00724758"/>
    <w:rsid w:val="00756CEE"/>
    <w:rsid w:val="00765DD8"/>
    <w:rsid w:val="0079098C"/>
    <w:rsid w:val="007C6D99"/>
    <w:rsid w:val="00806C54"/>
    <w:rsid w:val="0092220C"/>
    <w:rsid w:val="009257D1"/>
    <w:rsid w:val="00967C0F"/>
    <w:rsid w:val="009A24DE"/>
    <w:rsid w:val="00A733B0"/>
    <w:rsid w:val="00B35889"/>
    <w:rsid w:val="00BF47C3"/>
    <w:rsid w:val="00C95C8B"/>
    <w:rsid w:val="00D76295"/>
    <w:rsid w:val="00E176D1"/>
    <w:rsid w:val="00E63C1D"/>
    <w:rsid w:val="00EC6B6A"/>
    <w:rsid w:val="05526700"/>
    <w:rsid w:val="080A1514"/>
    <w:rsid w:val="11515ABE"/>
    <w:rsid w:val="11B322D4"/>
    <w:rsid w:val="14D7277E"/>
    <w:rsid w:val="153B0F5F"/>
    <w:rsid w:val="1B606ECC"/>
    <w:rsid w:val="1D547061"/>
    <w:rsid w:val="22BB723B"/>
    <w:rsid w:val="26451C3D"/>
    <w:rsid w:val="28F45255"/>
    <w:rsid w:val="2C1D4AC2"/>
    <w:rsid w:val="2CA174A1"/>
    <w:rsid w:val="32384404"/>
    <w:rsid w:val="396B1563"/>
    <w:rsid w:val="3CC80A7A"/>
    <w:rsid w:val="40E07FB7"/>
    <w:rsid w:val="41601281"/>
    <w:rsid w:val="42DF62A4"/>
    <w:rsid w:val="45F14B9E"/>
    <w:rsid w:val="49627B61"/>
    <w:rsid w:val="4D5F20D8"/>
    <w:rsid w:val="4F530677"/>
    <w:rsid w:val="519C0442"/>
    <w:rsid w:val="56B51C18"/>
    <w:rsid w:val="60F31039"/>
    <w:rsid w:val="62FD0BCE"/>
    <w:rsid w:val="686F6AD4"/>
    <w:rsid w:val="6A3F387A"/>
    <w:rsid w:val="6BD91AAD"/>
    <w:rsid w:val="73993FFB"/>
    <w:rsid w:val="73AD3F4B"/>
    <w:rsid w:val="797F5A41"/>
    <w:rsid w:val="7C4905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CIIC</Company>
  <Pages>5</Pages>
  <Words>617</Words>
  <Characters>3523</Characters>
  <Lines>29</Lines>
  <Paragraphs>8</Paragraphs>
  <TotalTime>66</TotalTime>
  <ScaleCrop>false</ScaleCrop>
  <LinksUpToDate>false</LinksUpToDate>
  <CharactersWithSpaces>4132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2024-03-07T12:41:00Z</dcterms:created>
  <dc:creator>DOCTOR</dc:creator>
  <cp:lastModifiedBy>DOCTOR</cp:lastModifiedBy>
  <cp:lastPrinted>2026-06-03T03:18:00Z</cp:lastPrinted>
  <dcterms:modified xsi:type="dcterms:W3CDTF">2026-07-14T00:40:41Z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KSOTemplateDocerSaveRecord">
    <vt:lpwstr>eyJoZGlkIjoiMzEwNTM5NzYwMDRjMzkwZTVkZjY2ODkwMGIxNGU0OTUiLCJ1c2VySWQiOiIyOTA4MzUxNTkifQ==</vt:lpwstr>
  </property>
  <property fmtid="{D5CDD505-2E9C-101B-9397-08002B2CF9AE}" pid="4" name="ICV">
    <vt:lpwstr>9507AD3E8562443B949ADF7A78EAA094_12</vt:lpwstr>
  </property>
</Properties>
</file>