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center"/>
        <w:textAlignment w:val="center"/>
        <w:outlineLvl w:val="9"/>
        <w:rPr>
          <w:rFonts w:ascii="方正小标宋简体" w:hAnsi="方正小标宋简体" w:eastAsia="方正小标宋简体" w:cs="方正小标宋简体"/>
          <w:i w:val="0"/>
          <w:color w:val="000000"/>
          <w:sz w:val="32"/>
          <w:szCs w:val="32"/>
          <w:u w:val="none"/>
        </w:rPr>
      </w:pPr>
      <w:r>
        <w:rPr>
          <w:rFonts w:hint="eastAsia" w:ascii="方正小标宋简体" w:hAnsi="方正小标宋简体" w:eastAsia="方正小标宋简体" w:cs="方正小标宋简体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采购需求表</w:t>
      </w:r>
    </w:p>
    <w:tbl>
      <w:tblPr>
        <w:tblStyle w:val="8"/>
        <w:tblW w:w="10073" w:type="dxa"/>
        <w:jc w:val="center"/>
        <w:tblInd w:w="-8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23"/>
        <w:gridCol w:w="531"/>
        <w:gridCol w:w="469"/>
        <w:gridCol w:w="398"/>
        <w:gridCol w:w="1216"/>
        <w:gridCol w:w="967"/>
        <w:gridCol w:w="3867"/>
        <w:gridCol w:w="663"/>
        <w:gridCol w:w="400"/>
        <w:gridCol w:w="237"/>
        <w:gridCol w:w="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95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项目</w:t>
            </w: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编号</w:t>
            </w:r>
          </w:p>
        </w:tc>
        <w:tc>
          <w:tcPr>
            <w:tcW w:w="2083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  <w:t>2025-JQ06-F3065</w:t>
            </w:r>
          </w:p>
        </w:tc>
        <w:tc>
          <w:tcPr>
            <w:tcW w:w="96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</w:t>
            </w: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386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质谱仪维保</w:t>
            </w:r>
          </w:p>
        </w:tc>
        <w:tc>
          <w:tcPr>
            <w:tcW w:w="1300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最高限价</w:t>
            </w: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9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2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96" w:leftChars="-30" w:right="-96" w:rightChars="-3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96" w:leftChars="-30" w:right="-96" w:rightChars="-3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39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96" w:leftChars="-30" w:right="-96" w:rightChars="-3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参数</w:t>
            </w: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性质</w:t>
            </w:r>
          </w:p>
        </w:tc>
        <w:tc>
          <w:tcPr>
            <w:tcW w:w="6713" w:type="dxa"/>
            <w:gridSpan w:val="4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96" w:leftChars="-30" w:right="-96" w:rightChars="-3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40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96" w:leftChars="-30" w:right="-96" w:rightChars="-3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是否</w:t>
            </w: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量化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96" w:leftChars="-30" w:right="-96" w:rightChars="-3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073" w:type="dxa"/>
            <w:gridSpan w:val="11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2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39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713" w:type="dxa"/>
            <w:gridSpan w:val="4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布鲁克Microflex LT/SH整机全保(含激光器、检测器和真空泵），不含其他消耗品（标准品、基质、靶板、靶托和各种试剂)</w:t>
            </w:r>
          </w:p>
        </w:tc>
        <w:tc>
          <w:tcPr>
            <w:tcW w:w="40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提供保修服务方案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2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资格要求</w:t>
            </w:r>
          </w:p>
        </w:tc>
        <w:tc>
          <w:tcPr>
            <w:tcW w:w="39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713" w:type="dxa"/>
            <w:gridSpan w:val="4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具备医疗设备维修或技术服务资质，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并在过去三年内无无重大维修事故及法律纠纷发生</w:t>
            </w:r>
          </w:p>
        </w:tc>
        <w:tc>
          <w:tcPr>
            <w:tcW w:w="40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90"/>
                <w:kern w:val="0"/>
                <w:sz w:val="20"/>
                <w:szCs w:val="20"/>
                <w:u w:val="none"/>
                <w:lang w:val="en-US" w:eastAsia="zh-CN" w:bidi="ar"/>
              </w:rPr>
              <w:t>提供营业执照，过去三年内无重大维修事故及法律纠纷承诺书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2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市场实力</w:t>
            </w:r>
          </w:p>
        </w:tc>
        <w:tc>
          <w:tcPr>
            <w:tcW w:w="39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6713" w:type="dxa"/>
            <w:gridSpan w:val="4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具备同品牌设备的维保经验</w:t>
            </w:r>
          </w:p>
        </w:tc>
        <w:tc>
          <w:tcPr>
            <w:tcW w:w="40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2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开机率要求</w:t>
            </w:r>
          </w:p>
        </w:tc>
        <w:tc>
          <w:tcPr>
            <w:tcW w:w="39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713" w:type="dxa"/>
            <w:gridSpan w:val="4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≥95%（全年按365天计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算，若不能达到规定开机天数，按超过部分两倍顺延保修期）</w:t>
            </w:r>
          </w:p>
        </w:tc>
        <w:tc>
          <w:tcPr>
            <w:tcW w:w="40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2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保养要求</w:t>
            </w:r>
          </w:p>
        </w:tc>
        <w:tc>
          <w:tcPr>
            <w:tcW w:w="39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713" w:type="dxa"/>
            <w:gridSpan w:val="4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维保期内提供二次计划性维护（PM）服务和一次OQPV校准服务，对合同约定的仪器进行全面检查及维护，维护服务包括更换维护包内的消耗性配件，清洗离子源及离子透镜，出具相应报告</w:t>
            </w:r>
          </w:p>
        </w:tc>
        <w:tc>
          <w:tcPr>
            <w:tcW w:w="40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2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设备日常维护要求</w:t>
            </w:r>
          </w:p>
        </w:tc>
        <w:tc>
          <w:tcPr>
            <w:tcW w:w="39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6713" w:type="dxa"/>
            <w:gridSpan w:val="4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中标人须提供5天×8小时的保修服务</w:t>
            </w:r>
          </w:p>
        </w:tc>
        <w:tc>
          <w:tcPr>
            <w:tcW w:w="40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2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设备服务要求</w:t>
            </w:r>
          </w:p>
        </w:tc>
        <w:tc>
          <w:tcPr>
            <w:tcW w:w="39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6713" w:type="dxa"/>
            <w:gridSpan w:val="4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每次服务需通知医学工程室工程师参与，服务期内维修所涉及的人工费用、交通差旅费及备件费，均由投标人承担</w:t>
            </w:r>
          </w:p>
        </w:tc>
        <w:tc>
          <w:tcPr>
            <w:tcW w:w="40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2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风险防控</w:t>
            </w:r>
          </w:p>
        </w:tc>
        <w:tc>
          <w:tcPr>
            <w:tcW w:w="39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713" w:type="dxa"/>
            <w:gridSpan w:val="4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由于实际服务提供商的维修、保养、操作等原因给设备和人员带来的伤害，所造成的直接经济损失和法律责任由投标人全部承担</w:t>
            </w:r>
          </w:p>
        </w:tc>
        <w:tc>
          <w:tcPr>
            <w:tcW w:w="40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2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零配件要求</w:t>
            </w:r>
          </w:p>
        </w:tc>
        <w:tc>
          <w:tcPr>
            <w:tcW w:w="39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6713" w:type="dxa"/>
            <w:gridSpan w:val="4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所更换的零配件必须是原厂全新配件，满足设备运行要求，维修零配件质保期≥3个月（该质保期与维保期结束无关）</w:t>
            </w:r>
          </w:p>
        </w:tc>
        <w:tc>
          <w:tcPr>
            <w:tcW w:w="40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073" w:type="dxa"/>
            <w:gridSpan w:val="11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2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服务期限</w:t>
            </w:r>
          </w:p>
        </w:tc>
        <w:tc>
          <w:tcPr>
            <w:tcW w:w="39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713" w:type="dxa"/>
            <w:gridSpan w:val="4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签订合同日起3年</w:t>
            </w:r>
          </w:p>
        </w:tc>
        <w:tc>
          <w:tcPr>
            <w:tcW w:w="40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2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付款及结算方式</w:t>
            </w:r>
          </w:p>
        </w:tc>
        <w:tc>
          <w:tcPr>
            <w:tcW w:w="39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713" w:type="dxa"/>
            <w:gridSpan w:val="4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合同签订后每半年付款当年维保费50%</w:t>
            </w:r>
          </w:p>
        </w:tc>
        <w:tc>
          <w:tcPr>
            <w:tcW w:w="40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2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售后服务（质保）</w:t>
            </w:r>
          </w:p>
        </w:tc>
        <w:tc>
          <w:tcPr>
            <w:tcW w:w="39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713" w:type="dxa"/>
            <w:gridSpan w:val="4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提供不少于1人次、1天的工程师现场培训。</w:t>
            </w:r>
          </w:p>
        </w:tc>
        <w:tc>
          <w:tcPr>
            <w:tcW w:w="40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2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90"/>
                <w:kern w:val="0"/>
                <w:sz w:val="20"/>
                <w:szCs w:val="20"/>
                <w:u w:val="none"/>
                <w:lang w:val="en-US" w:eastAsia="zh-CN" w:bidi="ar"/>
              </w:rPr>
              <w:t>(响应时间)</w:t>
            </w:r>
          </w:p>
        </w:tc>
        <w:tc>
          <w:tcPr>
            <w:tcW w:w="39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713" w:type="dxa"/>
            <w:gridSpan w:val="4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 w:bidi="ar"/>
              </w:rPr>
              <w:t>工作时间维修响应时间远程服务≤4小时，维修到达现场时间3</w:t>
            </w:r>
            <w:r>
              <w:rPr>
                <w:rStyle w:val="12"/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 w:bidi="ar"/>
              </w:rPr>
              <w:t>～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 w:bidi="ar"/>
              </w:rPr>
              <w:t>5个工作日。</w:t>
            </w:r>
          </w:p>
        </w:tc>
        <w:tc>
          <w:tcPr>
            <w:tcW w:w="40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073" w:type="dxa"/>
            <w:gridSpan w:val="11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  <w:t>注：1.★指标为必须响应指标，任意一项不满足要求即做废标处理；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400" w:firstLineChars="20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  <w:t>2.★及▲标识的指标，需逐条按备注要求提供证明材料，未明确的可由企业提供承诺；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方正大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modern"/>
    <w:pitch w:val="default"/>
    <w:sig w:usb0="80000287" w:usb1="280F3C52" w:usb2="00000016" w:usb3="00000000" w:csb0="0004001F" w:csb1="00000000"/>
  </w:font>
  <w:font w:name="Times New Roman'''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DengXian">
    <w:altName w:val="宋体"/>
    <w:panose1 w:val="02010600030101010101"/>
    <w:charset w:val="86"/>
    <w:family w:val="modern"/>
    <w:pitch w:val="default"/>
    <w:sig w:usb0="00000000" w:usb1="00000000" w:usb2="00000010" w:usb3="00000000" w:csb0="0004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书体坊王学勤钢笔行书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书体坊米芾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剪纸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剪纸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北魏楷书简体">
    <w:altName w:val="楷体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北魏楷书繁体">
    <w:altName w:val="楷体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大黑繁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宋黑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祥隶简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祥隶繁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倩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圆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粗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胖头鱼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铁筋隶书简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铁筋隶书繁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隶书繁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静蕾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简中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行楷">
    <w:altName w:val="楷体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隶书">
    <w:altName w:val="隶书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鼎古印体繁">
    <w:altName w:val="Segoe Print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经典繁行书">
    <w:altName w:val="宋体"/>
    <w:panose1 w:val="02010609010101010101"/>
    <w:charset w:val="86"/>
    <w:family w:val="auto"/>
    <w:pitch w:val="default"/>
    <w:sig w:usb0="00000000" w:usb1="00000000" w:usb2="0000001E" w:usb3="00000000" w:csb0="2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方正仿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FangSong_GB2312">
    <w:altName w:val="仿宋_GB2312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大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@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@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@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@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TimesNewRomanPSMT">
    <w:altName w:val="Times New Roman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 Symbol">
    <w:panose1 w:val="020B0502040204020203"/>
    <w:charset w:val="00"/>
    <w:family w:val="swiss"/>
    <w:pitch w:val="default"/>
    <w:sig w:usb0="8000006F" w:usb1="1200FBEF" w:usb2="0064C000" w:usb3="00000002" w:csb0="00000001" w:csb1="4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8D55FD"/>
    <w:rsid w:val="19CA0BAD"/>
    <w:rsid w:val="20DE52D5"/>
    <w:rsid w:val="364E2173"/>
    <w:rsid w:val="479F61AB"/>
    <w:rsid w:val="6134384D"/>
    <w:rsid w:val="64B4110C"/>
    <w:rsid w:val="668D55FD"/>
    <w:rsid w:val="671D6288"/>
    <w:rsid w:val="72E22000"/>
    <w:rsid w:val="7C9D0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880" w:firstLineChars="200"/>
      <w:jc w:val="left"/>
    </w:pPr>
    <w:rPr>
      <w:rFonts w:eastAsia="仿宋_GB2312" w:asciiTheme="minorAscii" w:hAnsiTheme="minorAscii" w:cstheme="minorBidi"/>
      <w:kern w:val="2"/>
      <w:sz w:val="32"/>
      <w:szCs w:val="24"/>
      <w:lang w:val="en-US" w:eastAsia="zh-CN" w:bidi="ar-SA"/>
    </w:rPr>
  </w:style>
  <w:style w:type="paragraph" w:styleId="3">
    <w:name w:val="heading 1"/>
    <w:basedOn w:val="4"/>
    <w:next w:val="1"/>
    <w:qFormat/>
    <w:uiPriority w:val="0"/>
    <w:pPr>
      <w:keepNext/>
      <w:keepLines/>
      <w:spacing w:beforeLines="0" w:beforeAutospacing="0" w:afterLines="0" w:afterAutospacing="0" w:line="560" w:lineRule="exact"/>
      <w:outlineLvl w:val="0"/>
    </w:pPr>
    <w:rPr>
      <w:rFonts w:ascii="Times New Roman" w:hAnsi="Times New Roman" w:eastAsia="方正小标宋简体" w:cs="Times New Roman"/>
      <w:b w:val="0"/>
      <w:kern w:val="44"/>
      <w:sz w:val="44"/>
    </w:rPr>
  </w:style>
  <w:style w:type="paragraph" w:styleId="5">
    <w:name w:val="heading 2"/>
    <w:basedOn w:val="1"/>
    <w:next w:val="1"/>
    <w:unhideWhenUsed/>
    <w:qFormat/>
    <w:uiPriority w:val="0"/>
    <w:pPr>
      <w:spacing w:beforeAutospacing="0" w:afterAutospacing="0" w:line="560" w:lineRule="exact"/>
      <w:ind w:firstLine="880" w:firstLineChars="200"/>
      <w:jc w:val="left"/>
      <w:outlineLvl w:val="1"/>
    </w:pPr>
    <w:rPr>
      <w:rFonts w:hint="eastAsia" w:ascii="宋体" w:hAnsi="宋体" w:eastAsia="黑体" w:cs="Times New Roman"/>
      <w:kern w:val="0"/>
      <w:szCs w:val="36"/>
    </w:rPr>
  </w:style>
  <w:style w:type="paragraph" w:styleId="6">
    <w:name w:val="heading 3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2"/>
    </w:pPr>
    <w:rPr>
      <w:b/>
    </w:rPr>
  </w:style>
  <w:style w:type="character" w:default="1" w:styleId="7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9">
    <w:name w:val="一级标题"/>
    <w:basedOn w:val="3"/>
    <w:next w:val="1"/>
    <w:qFormat/>
    <w:uiPriority w:val="0"/>
    <w:pPr>
      <w:spacing w:line="560" w:lineRule="exact"/>
      <w:ind w:firstLine="880" w:firstLineChars="200"/>
    </w:pPr>
    <w:rPr>
      <w:rFonts w:eastAsia="黑体" w:asciiTheme="minorAscii" w:hAnsiTheme="minorAscii"/>
      <w:sz w:val="32"/>
    </w:rPr>
  </w:style>
  <w:style w:type="paragraph" w:customStyle="1" w:styleId="10">
    <w:name w:val="样式1"/>
    <w:basedOn w:val="3"/>
    <w:next w:val="1"/>
    <w:qFormat/>
    <w:uiPriority w:val="0"/>
    <w:pPr>
      <w:spacing w:line="560" w:lineRule="exact"/>
      <w:ind w:firstLine="880" w:firstLineChars="200"/>
      <w:jc w:val="left"/>
    </w:pPr>
    <w:rPr>
      <w:rFonts w:eastAsia="黑体" w:asciiTheme="minorAscii" w:hAnsiTheme="minorAscii"/>
      <w:sz w:val="32"/>
    </w:rPr>
  </w:style>
  <w:style w:type="character" w:customStyle="1" w:styleId="11">
    <w:name w:val="font6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2">
    <w:name w:val="font0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2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2025-10-26T02:41:00Z</dcterms:created>
  <dc:creator>admin</dc:creator>
  <cp:lastModifiedBy>admin</cp:lastModifiedBy>
  <dcterms:modified xsi:type="dcterms:W3CDTF">2026-07-04T06:45:07Z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