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 w:line="572" w:lineRule="exact"/>
        <w:jc w:val="center"/>
        <w:rPr>
          <w:rFonts w:ascii="方正小标宋简体" w:hAnsi="方正小标宋简体" w:eastAsia="方正小标宋简体" w:cs="方正小标宋简体"/>
          <w:color w:val="auto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采购需求表（物资类）</w:t>
      </w:r>
    </w:p>
    <w:tbl>
      <w:tblPr>
        <w:tblStyle w:val="5"/>
        <w:tblW w:w="95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1467"/>
        <w:gridCol w:w="761"/>
        <w:gridCol w:w="79"/>
        <w:gridCol w:w="4667"/>
        <w:gridCol w:w="98"/>
        <w:gridCol w:w="585"/>
        <w:gridCol w:w="1"/>
        <w:gridCol w:w="138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性质</w:t>
            </w:r>
          </w:p>
        </w:tc>
        <w:tc>
          <w:tcPr>
            <w:tcW w:w="4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量化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57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用于口腔黏膜、牙龈的汽化，口腔内软组织的切开、牙龈切除等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18"/>
                <w:szCs w:val="16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说明书、技术白皮书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18"/>
                <w:szCs w:val="16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NMPA认证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激光发射波长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双治疗波长(440nm和976nm)±5%的非导体激光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color w:val="auto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z w:val="18"/>
                <w:szCs w:val="16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激光脉冲频率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lang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（1～20000）Hz，步进1Hz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  <w:sz w:val="18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控制方式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同时具有手柄按键和无线脚踏两种控制方式，并可自由切换控制方式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auto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z w:val="18"/>
                <w:szCs w:val="16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工作有效距离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工作有效距离在（0.5～5）mm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输出光斑直径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距离光纤端面5mm时，光斑直径≤10mm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脉冲宽度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440nm：10μs～0.9s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976nm：5μs～0.9s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光纤工作尖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具备三种直径规格的光纤工作尖(200微米，300微米，400微米，可通过颜色区分)，并可根据临床使用需求弯折0-70”，适合口腔内各种角度和位置的治疗。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预设模式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激光发射安全提示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具备声音提示、指示灯闪煤提示、倒计时放大显示提示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激光定时发射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具有激光发射定时功能，也可开启或关闭时间设置。 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激光瞄准光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650nm±20nm，功率＜5mW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激光脉冲占空比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10%～90%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主机1台，附件1套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供应商需配合验收人员提供有关证明材料或拆解设备部位进行验收。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84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备注：若非同品牌须提供封闭耗材（试剂）为设备生产企业指定的唯一代工品牌材料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57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▲标识的指标负偏离≥4项，报价企业技术参数分值为0分；▲标识的指标和“无标识”指标负偏离≥7项，报价企业技术参数分值为0分。</w:t>
            </w:r>
          </w:p>
        </w:tc>
      </w:tr>
    </w:tbl>
    <w:p>
      <w:pP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Lines="50" w:after="180" w:afterLines="50" w:line="572" w:lineRule="exact"/>
        <w:ind w:left="0" w:leftChars="0" w:firstLine="0" w:firstLineChars="0"/>
        <w:jc w:val="center"/>
        <w:textAlignment w:val="auto"/>
        <w:rPr>
          <w:rFonts w:ascii="黑体" w:hAnsi="黑体" w:eastAsia="黑体" w:cs="黑体"/>
          <w:i/>
          <w:iCs/>
          <w:kern w:val="0"/>
          <w:sz w:val="28"/>
          <w:szCs w:val="2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  <w:t>封闭耗材（试剂）用量测算表</w:t>
      </w:r>
    </w:p>
    <w:tbl>
      <w:tblPr>
        <w:tblStyle w:val="5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07"/>
        <w:gridCol w:w="1475"/>
        <w:gridCol w:w="1063"/>
        <w:gridCol w:w="1064"/>
        <w:gridCol w:w="1227"/>
        <w:gridCol w:w="17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项目名称</w:t>
            </w:r>
          </w:p>
        </w:tc>
        <w:tc>
          <w:tcPr>
            <w:tcW w:w="795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宋体" w:eastAsia="黑体" w:cs="黑体"/>
                <w:sz w:val="20"/>
                <w:szCs w:val="20"/>
                <w:highlight w:val="none"/>
                <w:lang w:eastAsia="zh-CN"/>
              </w:rPr>
              <w:t>半导体激光治疗仪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封闭耗材（试剂）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描述</w:t>
            </w:r>
          </w:p>
        </w:tc>
        <w:tc>
          <w:tcPr>
            <w:tcW w:w="7959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耗材（试剂）与设备为同一品牌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eastAsia="zh-CN" w:bidi="ar"/>
              </w:rPr>
              <w:t>或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耗材（试剂）为设备生产企业指定的唯一代工品牌。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序号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耗材（开展项目）名称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规格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预估2年用量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计量单位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最高限价（万元）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eastAsia="zh-CN" w:bidi="ar"/>
              </w:rPr>
              <w:t>激光工作尖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40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eastAsia="zh-CN" w:bidi="ar"/>
              </w:rPr>
              <w:t>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0.8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eastAsia="zh-CN" w:bidi="ar"/>
              </w:rPr>
              <w:t>用于根管或牙周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eastAsia="zh-CN" w:bidi="ar"/>
              </w:rPr>
              <w:t>激光工作尖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/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eastAsia="zh-CN" w:bidi="ar"/>
              </w:rPr>
              <w:t>个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val="en-US" w:eastAsia="zh-CN" w:bidi="ar"/>
              </w:rPr>
              <w:t>1.2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eastAsia="zh-CN" w:bidi="ar"/>
              </w:rPr>
              <w:t>用于牙齿美白，可长期使用</w:t>
            </w:r>
          </w:p>
        </w:tc>
      </w:tr>
    </w:tbl>
    <w:p>
      <w:pPr>
        <w:pStyle w:val="2"/>
        <w:numPr>
          <w:ilvl w:val="0"/>
          <w:numId w:val="0"/>
        </w:numPr>
        <w:jc w:val="both"/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注：</w:t>
      </w:r>
    </w:p>
    <w:p>
      <w:pPr>
        <w:pStyle w:val="2"/>
        <w:numPr>
          <w:ilvl w:val="0"/>
          <w:numId w:val="0"/>
        </w:numPr>
        <w:jc w:val="both"/>
        <w:rPr>
          <w:rFonts w:hint="default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1.所投产品提供的耗材/试剂按医疗器械管理的，须提供相应的医疗器械注册证或备案凭证;</w:t>
      </w:r>
    </w:p>
    <w:p>
      <w:pPr>
        <w:pStyle w:val="2"/>
        <w:numPr>
          <w:ilvl w:val="0"/>
          <w:numId w:val="0"/>
        </w:numPr>
        <w:jc w:val="both"/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2.开放耗材和不明确的封闭耗材/试剂，不参与评分，只填写耗材价格构成表；</w:t>
      </w:r>
    </w:p>
    <w:p>
      <w:pPr>
        <w:pStyle w:val="2"/>
        <w:numPr>
          <w:ilvl w:val="0"/>
          <w:numId w:val="0"/>
        </w:numPr>
        <w:jc w:val="both"/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3.耗材试剂为解放军总医院目录内产品，须一同报价，并按照就低原则同步调价。</w:t>
      </w:r>
    </w:p>
    <w:p>
      <w:pPr>
        <w:pStyle w:val="2"/>
        <w:numPr>
          <w:ilvl w:val="0"/>
          <w:numId w:val="0"/>
        </w:numPr>
        <w:jc w:val="both"/>
        <w:rPr>
          <w:rFonts w:hint="eastAsia" w:ascii="黑体" w:hAnsi="黑体" w:eastAsia="宋体" w:cs="黑体"/>
          <w:b w:val="0"/>
          <w:color w:val="auto"/>
          <w:sz w:val="24"/>
          <w:szCs w:val="24"/>
        </w:rPr>
        <w:sectPr>
          <w:headerReference r:id="rId3" w:type="default"/>
          <w:pgSz w:w="11906" w:h="16838"/>
          <w:pgMar w:top="1418" w:right="1134" w:bottom="1418" w:left="1418" w:header="851" w:footer="992" w:gutter="0"/>
          <w:cols w:space="720" w:num="1"/>
          <w:docGrid w:linePitch="312" w:charSpace="0"/>
        </w:sectPr>
      </w:pPr>
      <w:r>
        <w:rPr>
          <w:rFonts w:hint="eastAsia"/>
          <w:color w:val="000000" w:themeColor="text1"/>
          <w:sz w:val="21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黑体" w:hAnsi="宋体" w:eastAsia="黑体" w:cs="黑体"/>
          <w:b/>
          <w:bCs/>
          <w:i w:val="0"/>
          <w:color w:val="000000"/>
          <w:kern w:val="0"/>
          <w:sz w:val="20"/>
          <w:szCs w:val="20"/>
          <w:u w:val="none"/>
          <w:lang w:val="en-US" w:eastAsia="zh-CN" w:bidi="ar"/>
        </w:rPr>
        <w:t>若非同品牌须提供封闭耗材（试剂）为设备生产企业指定的唯一代工品牌材料</w:t>
      </w:r>
      <w:r>
        <w:rPr>
          <w:rFonts w:hint="eastAsia" w:hAnsi="宋体" w:cs="黑体"/>
          <w:b/>
          <w:bCs/>
          <w:i w:val="0"/>
          <w:color w:val="000000"/>
          <w:kern w:val="0"/>
          <w:sz w:val="20"/>
          <w:szCs w:val="20"/>
          <w:u w:val="none"/>
          <w:lang w:val="en-US" w:eastAsia="zh-CN" w:bidi="ar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楷体_GB2312" w:hAnsi="楷体" w:eastAsia="楷体_GB2312" w:cs="楷体"/>
        <w:sz w:val="21"/>
        <w:szCs w:val="21"/>
      </w:rPr>
    </w:pPr>
    <w:r>
      <w:rPr>
        <w:sz w:val="18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8467090"/>
          <wp:effectExtent l="0" t="0" r="2540" b="10160"/>
          <wp:wrapNone/>
          <wp:docPr id="14" name="WordPictureWatermark37419" descr="水印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ordPictureWatermark37419" descr="水印图片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8467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>章 采购项目商务和技术要求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B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2026-08-05T09:25:07Z</dcterms:created>
  <dc:creator>Administrator</dc:creator>
  <cp:lastModifiedBy>Yingying</cp:lastModifiedBy>
  <dcterms:modified xsi:type="dcterms:W3CDTF">2026-08-05T09:25:42Z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