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="156" w:beforeLines="50" w:after="156" w:afterLines="50" w:line="572" w:lineRule="exact"/>
        <w:jc w:val="center"/>
        <w:rPr>
          <w:rFonts w:ascii="方正小标宋简体" w:hAnsi="方正小标宋简体" w:eastAsia="方正小标宋简体" w:cs="方正小标宋简体"/>
          <w:color w:val="auto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</w:rPr>
        <w:t>采购需求表（物资类）</w:t>
      </w:r>
    </w:p>
    <w:tbl>
      <w:tblPr>
        <w:tblStyle w:val="4"/>
        <w:tblW w:w="95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1467"/>
        <w:gridCol w:w="761"/>
        <w:gridCol w:w="79"/>
        <w:gridCol w:w="4667"/>
        <w:gridCol w:w="98"/>
        <w:gridCol w:w="585"/>
        <w:gridCol w:w="1"/>
        <w:gridCol w:w="138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序号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性质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量化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570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技术要求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适用于脊柱内镜手术、开放手术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18"/>
                <w:szCs w:val="16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彩页或技术白皮书或注册证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18"/>
                <w:szCs w:val="16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全彩色液晶触摸屏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auto"/>
                <w:sz w:val="20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≥5英寸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  <w:sz w:val="18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动力系统主机显示内容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lang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包含当前所连接的手机类型、转速设置、实时转速、手柄运行方向（顺时针/逆时针/ 往复旋转）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  <w:sz w:val="18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动力系统适用手柄（或手机）种类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lang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应至少包含刨削手机、脊柱内镜手术高速手机、显微外科手术高速手机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  <w:sz w:val="18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主机具有自检和错误提示功能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彩页或技术白皮书或说明书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过载、超温、堵转保护功能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彩页或技术白皮书或说明书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动力系统主机能与内窥镜摄像系统通讯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当应用部件的旋转头端距离内窥镜镜头≤3mm时，动力系统主机受控停止输出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彩页或技术白皮书或说明书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脚踏开关防水等级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≥IPX8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脚踏开关功能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无极变速方式控制手柄电机工作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高速手机最高转速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≥40000转/分钟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彩页或技术白皮书或说明书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高速手机工作模式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支持正转或反转工作模式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高速手机噪音水平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≤60db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彩页或技术白皮书或说明书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高速手机灭菌方式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可高温高压灭菌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彩页或技术白皮书或说明书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高速手机过载保护功能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彩页或技术白皮书或说明书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高速手机通用接口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刨削手机最高转速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≥8000转/分钟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彩页或技术白皮书或说明书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刨削手机转速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可调，支持正转、反转、往复转三种工作模式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刨削手机噪音水平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≤60db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彩页或技术白皮书或说明书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刨削手机灭菌方式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可高温高压灭菌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刨削手机具有抽吸通道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彩页或技术白皮书或说明书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刨削手机具有过载保护功能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至少包含动力系统主机1个，高速手机及其配套附件各2支，刨削手机1支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厂家承诺及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注册证（</w:t>
            </w:r>
            <w:r>
              <w:rPr>
                <w:rFonts w:hint="eastAsia" w:ascii="黑体" w:hAnsi="宋体" w:eastAsia="黑体" w:cs="黑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备注：若非同品牌须提供封闭耗材（试剂）为设备生产企业指定的唯一代工品牌材料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57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▲标识的指标负偏离≥4项，报价企业技术参数分值为0分；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▲标识的指标和“无标识”指标负偏离≥7项，报价企业技术参数分值为0分。</w:t>
            </w:r>
          </w:p>
        </w:tc>
      </w:tr>
    </w:tbl>
    <w:p>
      <w:pP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</w:rPr>
        <w:br w:type="page"/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Lines="50" w:after="180" w:afterLines="50" w:line="572" w:lineRule="exact"/>
        <w:ind w:left="0" w:leftChars="0" w:firstLine="0" w:firstLineChars="0"/>
        <w:jc w:val="center"/>
        <w:textAlignment w:val="auto"/>
        <w:rPr>
          <w:rFonts w:ascii="黑体" w:hAnsi="黑体" w:eastAsia="黑体" w:cs="黑体"/>
          <w:i/>
          <w:iCs/>
          <w:kern w:val="0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</w:rPr>
        <w:t>封闭耗材（试剂）用量测算表</w:t>
      </w:r>
    </w:p>
    <w:tbl>
      <w:tblPr>
        <w:tblStyle w:val="4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407"/>
        <w:gridCol w:w="2295"/>
        <w:gridCol w:w="1093"/>
        <w:gridCol w:w="1227"/>
        <w:gridCol w:w="1143"/>
        <w:gridCol w:w="79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项目名称</w:t>
            </w:r>
          </w:p>
        </w:tc>
        <w:tc>
          <w:tcPr>
            <w:tcW w:w="795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黑体" w:hAnsi="宋体" w:eastAsia="黑体" w:cs="黑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黑体" w:hAnsi="宋体" w:eastAsia="黑体" w:cs="黑体"/>
                <w:sz w:val="20"/>
                <w:szCs w:val="20"/>
                <w:highlight w:val="none"/>
                <w:lang w:eastAsia="zh-CN"/>
              </w:rPr>
              <w:t>手术动力系统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封闭耗材（试剂）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描述</w:t>
            </w:r>
          </w:p>
        </w:tc>
        <w:tc>
          <w:tcPr>
            <w:tcW w:w="7959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耗材（试剂）与设备为同一品牌或耗材（试剂）为设备生产企业指定的唯一代工品牌。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序号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耗材（开展项目）名称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规格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预估2年用量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计量单位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最高限价（万元）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一次性无菌刨削头/磨钻头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</w:tbl>
    <w:p>
      <w:pPr>
        <w:pStyle w:val="2"/>
        <w:numPr>
          <w:ilvl w:val="0"/>
          <w:numId w:val="0"/>
        </w:numPr>
        <w:jc w:val="both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b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注：</w:t>
      </w:r>
    </w:p>
    <w:p>
      <w:pPr>
        <w:pStyle w:val="2"/>
        <w:numPr>
          <w:ilvl w:val="0"/>
          <w:numId w:val="0"/>
        </w:numPr>
        <w:jc w:val="both"/>
        <w:rPr>
          <w:rFonts w:hint="default"/>
          <w:color w:val="000000" w:themeColor="text1"/>
          <w:sz w:val="21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1.所投产品提供的耗材/试剂按医疗器械管理的，须提供相应的医疗器械注册证或备案凭证;</w:t>
      </w:r>
    </w:p>
    <w:p>
      <w:pPr>
        <w:pStyle w:val="2"/>
        <w:numPr>
          <w:ilvl w:val="0"/>
          <w:numId w:val="0"/>
        </w:numPr>
        <w:jc w:val="both"/>
        <w:rPr>
          <w:rFonts w:hint="eastAsia"/>
          <w:color w:val="000000" w:themeColor="text1"/>
          <w:sz w:val="21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2.开放耗材和不明确的封闭耗材/试剂，不参与评分，只填写耗材价格构成表；</w:t>
      </w:r>
    </w:p>
    <w:p>
      <w:pPr>
        <w:pStyle w:val="2"/>
        <w:numPr>
          <w:ilvl w:val="0"/>
          <w:numId w:val="0"/>
        </w:numPr>
        <w:jc w:val="both"/>
        <w:rPr>
          <w:rFonts w:hint="eastAsia"/>
          <w:color w:val="000000" w:themeColor="text1"/>
          <w:sz w:val="21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3.耗材试剂为解放军总医院目录内产品，须一同报价，并按照就低原则同步调价。</w:t>
      </w:r>
    </w:p>
    <w:p>
      <w:pPr>
        <w:pStyle w:val="2"/>
        <w:numPr>
          <w:ilvl w:val="0"/>
          <w:numId w:val="0"/>
        </w:numPr>
        <w:jc w:val="both"/>
        <w:rPr>
          <w:rFonts w:hint="default"/>
          <w:color w:val="000000" w:themeColor="text1"/>
          <w:sz w:val="21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黑体" w:hAnsi="宋体" w:eastAsia="黑体" w:cs="黑体"/>
          <w:b/>
          <w:bCs/>
          <w:i w:val="0"/>
          <w:color w:val="000000"/>
          <w:kern w:val="0"/>
          <w:sz w:val="20"/>
          <w:szCs w:val="20"/>
          <w:u w:val="none"/>
          <w:lang w:val="en-US" w:eastAsia="zh-CN" w:bidi="ar"/>
        </w:rPr>
        <w:t>若非同品牌须提供封闭耗材（试剂）为设备生产企业指定的唯一代工品牌材料</w:t>
      </w:r>
      <w:r>
        <w:rPr>
          <w:rFonts w:hint="eastAsia" w:hAnsi="宋体" w:cs="黑体"/>
          <w:b/>
          <w:bCs/>
          <w:i w:val="0"/>
          <w:color w:val="000000"/>
          <w:kern w:val="0"/>
          <w:sz w:val="20"/>
          <w:szCs w:val="20"/>
          <w:u w:val="none"/>
          <w:lang w:val="en-US" w:eastAsia="zh-CN" w:bidi="ar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D5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2026-08-05T09:19:45Z</dcterms:created>
  <dc:creator>Administrator</dc:creator>
  <cp:lastModifiedBy>Yingying</cp:lastModifiedBy>
  <dcterms:modified xsi:type="dcterms:W3CDTF">2026-08-05T09:20:53Z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