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tbl>
      <w:tblPr>
        <w:tblW w:w="10010" w:type="dxa"/>
        <w:jc w:val="center"/>
        <w:tblInd w:w="-8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387"/>
        <w:gridCol w:w="508"/>
        <w:gridCol w:w="90"/>
        <w:gridCol w:w="477"/>
        <w:gridCol w:w="4900"/>
        <w:gridCol w:w="110"/>
        <w:gridCol w:w="253"/>
        <w:gridCol w:w="212"/>
        <w:gridCol w:w="110"/>
        <w:gridCol w:w="623"/>
        <w:gridCol w:w="882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40" w:hRule="atLeast"/>
          <w:jc w:val="center"/>
        </w:trPr>
        <w:tc>
          <w:tcPr>
            <w:tcW w:w="9990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采购需求表（物资类）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90" w:hRule="atLeast"/>
          <w:jc w:val="center"/>
        </w:trPr>
        <w:tc>
          <w:tcPr>
            <w:tcW w:w="438" w:type="dxa"/>
            <w:tcBorders>
              <w:top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  <w:t>2026-JQ06-W3202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263" w:type="dxa"/>
            <w:gridSpan w:val="3"/>
            <w:tcBorders>
              <w:top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便携式心电图机</w:t>
            </w:r>
          </w:p>
        </w:tc>
        <w:tc>
          <w:tcPr>
            <w:tcW w:w="945" w:type="dxa"/>
            <w:gridSpan w:val="3"/>
            <w:tcBorders>
              <w:top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最高限价（万元）</w:t>
            </w:r>
          </w:p>
        </w:tc>
        <w:tc>
          <w:tcPr>
            <w:tcW w:w="882" w:type="dxa"/>
            <w:tcBorders>
              <w:top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17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需求名称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参数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性质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需求具体内容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是否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量化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5" w:hRule="atLeast"/>
          <w:jc w:val="center"/>
        </w:trPr>
        <w:tc>
          <w:tcPr>
            <w:tcW w:w="9990" w:type="dxa"/>
            <w:gridSpan w:val="1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04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基本要求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记录，显示和测量静息心电图的设备。简单直观的操作，有效地输入患者数据，记录心电图。方便外出及随诊使用。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技术白皮书或彩页或官网截图或说明书或企业承诺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72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资质认证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具备NMPA认证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NMPA认证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90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ECG输入通道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具备标准12导联心电信息同步采集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184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导联选择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手动/自动可选，支持多种导联体系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90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采样率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≥32000点/秒/通道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技术白皮书或彩页或官网截图或说明书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28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抗干扰滤波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≥3种抗干扰滤波器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442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频率响应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至少包含（1～250）Hz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技术白皮书或彩页或官网截图或说明书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115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内置高分辨率热敏打印机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190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屏幕尺寸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≥8英寸彩色触摸屏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技术白皮书或彩页或官网截图或说明书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28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≤1.5kg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技术白皮书或彩页或官网截图或说明书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115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便捷操作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可触摸屏操作模拟电极放置位置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78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自动分析算法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适配高强度训练人群的运动员模式，快速区分训练相关生理性改变与真阳性病变，提前预警心脏隐患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166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报警及安全指标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具备导联信号质量监测及实时状态提示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760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配置要求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主机6台、12 导联心电导联线6套、肢体电极夹 24 个、胸电极吸球 36 个、导电膏6瓶、电源适配器6套、急救箱(含内胆包）6套、电池6套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技术白皮书或彩页或官网截图或说明书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512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验收标准方法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5" w:hRule="atLeast"/>
          <w:jc w:val="center"/>
        </w:trPr>
        <w:tc>
          <w:tcPr>
            <w:tcW w:w="9990" w:type="dxa"/>
            <w:gridSpan w:val="1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90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交货时间、交货地点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合同签订后15天内交付，交付地点由甲方指定。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463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付款及结算方式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签订合同付0%，物资到货（服务完成）验收后付100%。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413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履约保证金/质量保证金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801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产品包装和运输要求</w:t>
            </w:r>
          </w:p>
        </w:tc>
        <w:tc>
          <w:tcPr>
            <w:tcW w:w="50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6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1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87" w:type="dxa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98" w:type="dxa"/>
            <w:gridSpan w:val="2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8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152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387" w:type="dxa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98" w:type="dxa"/>
            <w:gridSpan w:val="2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8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52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387" w:type="dxa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98" w:type="dxa"/>
            <w:gridSpan w:val="2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8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提供不少于3人次、3天的工程师维修培训。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52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387" w:type="dxa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598" w:type="dxa"/>
            <w:gridSpan w:val="2"/>
            <w:tcBorders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8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维修响应时间≤2小时，维修到达现场时间≤12小时。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52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物资编目编码、打码贴签要求</w:t>
            </w:r>
          </w:p>
        </w:tc>
        <w:tc>
          <w:tcPr>
            <w:tcW w:w="598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8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52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备品备件要求（零配件）</w:t>
            </w:r>
          </w:p>
        </w:tc>
        <w:tc>
          <w:tcPr>
            <w:tcW w:w="598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8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52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专用工具</w:t>
            </w:r>
          </w:p>
        </w:tc>
        <w:tc>
          <w:tcPr>
            <w:tcW w:w="598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548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提供的配套专修工具和使用工具。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52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企业承诺并附《专修工具和使用工具</w:t>
            </w: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清单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438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387" w:type="dxa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知识产权和保密要求</w:t>
            </w:r>
          </w:p>
        </w:tc>
        <w:tc>
          <w:tcPr>
            <w:tcW w:w="598" w:type="dxa"/>
            <w:gridSpan w:val="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487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57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525" w:type="dxa"/>
            <w:gridSpan w:val="3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85" w:hRule="atLeast"/>
          <w:jc w:val="center"/>
        </w:trPr>
        <w:tc>
          <w:tcPr>
            <w:tcW w:w="9990" w:type="dxa"/>
            <w:gridSpan w:val="12"/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注：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</w:rPr>
              <w:t>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2"/>
                <w:szCs w:val="2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</w:rPr>
              <w:t>★及▲标识的指标，需逐条按备注要求提供证明材料，未明确的可由企业提供承诺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eastAsia="zh-CN"/>
              </w:rPr>
              <w:t>。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8"/>
                <w:lang w:eastAsia="zh-CN"/>
              </w:rPr>
              <w:t>本表所要求的“技术白皮书”为：国产产品需加盖生产厂家及投标（报价）人公章；进口产品需加盖国内总代理及投标（报价）人公章；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3.▲标识的指标负偏离≥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2项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，投标企业技术分值为0分;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4.▲标识的指标和“无标识”指标负偏离≥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3项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，投标企业技术分值为0分。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3116580</wp:posOffset>
                  </wp:positionH>
                  <wp:positionV relativeFrom="paragraph">
                    <wp:posOffset>0</wp:posOffset>
                  </wp:positionV>
                  <wp:extent cx="9525" cy="10160"/>
                  <wp:effectExtent l="0" t="0" r="0" b="0"/>
                  <wp:wrapNone/>
                  <wp:docPr id="3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5"/>
                          <pic:cNvPicPr/>
                        </pic:nvPicPr>
                        <pic:blipFill>
                          <a:blip r:link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3116580</wp:posOffset>
                  </wp:positionH>
                  <wp:positionV relativeFrom="paragraph">
                    <wp:posOffset>0</wp:posOffset>
                  </wp:positionV>
                  <wp:extent cx="9525" cy="10160"/>
                  <wp:effectExtent l="0" t="0" r="0" b="0"/>
                  <wp:wrapNone/>
                  <wp:docPr id="2" name="图片_5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_5_SpCnt_1"/>
                          <pic:cNvPicPr/>
                        </pic:nvPicPr>
                        <pic:blipFill>
                          <a:blip r:link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3802380</wp:posOffset>
                  </wp:positionH>
                  <wp:positionV relativeFrom="paragraph">
                    <wp:posOffset>0</wp:posOffset>
                  </wp:positionV>
                  <wp:extent cx="9525" cy="10160"/>
                  <wp:effectExtent l="0" t="0" r="0" b="0"/>
                  <wp:wrapNone/>
                  <wp:docPr id="5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3"/>
                          <pic:cNvPicPr/>
                        </pic:nvPicPr>
                        <pic:blipFill>
                          <a:blip r:link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3802380</wp:posOffset>
                  </wp:positionH>
                  <wp:positionV relativeFrom="paragraph">
                    <wp:posOffset>0</wp:posOffset>
                  </wp:positionV>
                  <wp:extent cx="9525" cy="10160"/>
                  <wp:effectExtent l="0" t="0" r="0" b="0"/>
                  <wp:wrapNone/>
                  <wp:docPr id="4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4"/>
                          <pic:cNvPicPr/>
                        </pic:nvPicPr>
                        <pic:blipFill>
                          <a:blip r:link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3802380</wp:posOffset>
                  </wp:positionH>
                  <wp:positionV relativeFrom="paragraph">
                    <wp:posOffset>0</wp:posOffset>
                  </wp:positionV>
                  <wp:extent cx="9525" cy="10160"/>
                  <wp:effectExtent l="0" t="0" r="0" b="0"/>
                  <wp:wrapNone/>
                  <wp:docPr id="1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6"/>
                          <pic:cNvPicPr/>
                        </pic:nvPicPr>
                        <pic:blipFill>
                          <a:blip r:link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3802380</wp:posOffset>
                  </wp:positionH>
                  <wp:positionV relativeFrom="paragraph">
                    <wp:posOffset>0</wp:posOffset>
                  </wp:positionV>
                  <wp:extent cx="9525" cy="10160"/>
                  <wp:effectExtent l="0" t="0" r="0" b="0"/>
                  <wp:wrapNone/>
                  <wp:docPr id="6" name="图片_3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3_SpCnt_1"/>
                          <pic:cNvPicPr/>
                        </pic:nvPicPr>
                        <pic:blipFill>
                          <a:blip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3802380</wp:posOffset>
                  </wp:positionH>
                  <wp:positionV relativeFrom="paragraph">
                    <wp:posOffset>0</wp:posOffset>
                  </wp:positionV>
                  <wp:extent cx="9525" cy="10160"/>
                  <wp:effectExtent l="0" t="0" r="0" b="0"/>
                  <wp:wrapNone/>
                  <wp:docPr id="7" name="图片_4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4_SpCnt_1"/>
                          <pic:cNvPicPr/>
                        </pic:nvPicPr>
                        <pic:blipFill>
                          <a:blip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3802380</wp:posOffset>
                  </wp:positionH>
                  <wp:positionV relativeFrom="paragraph">
                    <wp:posOffset>0</wp:posOffset>
                  </wp:positionV>
                  <wp:extent cx="9525" cy="10160"/>
                  <wp:effectExtent l="0" t="0" r="0" b="0"/>
                  <wp:wrapNone/>
                  <wp:docPr id="8" name="图片_6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_6_SpCnt_1"/>
                          <pic:cNvPicPr/>
                        </pic:nvPicPr>
                        <pic:blipFill>
                          <a:blip r:link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F360F"/>
    <w:rsid w:val="005D6E20"/>
    <w:rsid w:val="006B40CC"/>
    <w:rsid w:val="00E00368"/>
    <w:rsid w:val="01925241"/>
    <w:rsid w:val="034850AF"/>
    <w:rsid w:val="03B24EF2"/>
    <w:rsid w:val="05853ABF"/>
    <w:rsid w:val="079F27CB"/>
    <w:rsid w:val="082B4ED6"/>
    <w:rsid w:val="09172C85"/>
    <w:rsid w:val="0A0C1DF8"/>
    <w:rsid w:val="0BB232AC"/>
    <w:rsid w:val="0C48073F"/>
    <w:rsid w:val="0C981F2D"/>
    <w:rsid w:val="0E1A3029"/>
    <w:rsid w:val="0E84615E"/>
    <w:rsid w:val="0F0B6597"/>
    <w:rsid w:val="0F6E1140"/>
    <w:rsid w:val="104B590F"/>
    <w:rsid w:val="123E4273"/>
    <w:rsid w:val="132364C4"/>
    <w:rsid w:val="15BE6E26"/>
    <w:rsid w:val="17AC0541"/>
    <w:rsid w:val="1B0900BC"/>
    <w:rsid w:val="1D536626"/>
    <w:rsid w:val="1E373790"/>
    <w:rsid w:val="1E86147F"/>
    <w:rsid w:val="2008431D"/>
    <w:rsid w:val="20343F32"/>
    <w:rsid w:val="206C7F22"/>
    <w:rsid w:val="22851BA2"/>
    <w:rsid w:val="234673A7"/>
    <w:rsid w:val="235A7E00"/>
    <w:rsid w:val="265838A3"/>
    <w:rsid w:val="280118F6"/>
    <w:rsid w:val="28C11EDD"/>
    <w:rsid w:val="28DE6E87"/>
    <w:rsid w:val="2BFF515C"/>
    <w:rsid w:val="2C1962B7"/>
    <w:rsid w:val="2D9B6EE2"/>
    <w:rsid w:val="2DA5028A"/>
    <w:rsid w:val="2DC87B35"/>
    <w:rsid w:val="2E2E07CC"/>
    <w:rsid w:val="2FD55FC3"/>
    <w:rsid w:val="307752AE"/>
    <w:rsid w:val="33553BDC"/>
    <w:rsid w:val="36814F84"/>
    <w:rsid w:val="388735FF"/>
    <w:rsid w:val="39A5195F"/>
    <w:rsid w:val="39D701DF"/>
    <w:rsid w:val="3C357117"/>
    <w:rsid w:val="3CCD2596"/>
    <w:rsid w:val="3CDE6C33"/>
    <w:rsid w:val="3D334BE1"/>
    <w:rsid w:val="3E041857"/>
    <w:rsid w:val="40BF0237"/>
    <w:rsid w:val="415C46AC"/>
    <w:rsid w:val="418A4323"/>
    <w:rsid w:val="41A72674"/>
    <w:rsid w:val="41CC018A"/>
    <w:rsid w:val="41F43AD0"/>
    <w:rsid w:val="42CD45C0"/>
    <w:rsid w:val="42FF360F"/>
    <w:rsid w:val="43F75ACF"/>
    <w:rsid w:val="456213A4"/>
    <w:rsid w:val="4A925441"/>
    <w:rsid w:val="4B5B17B5"/>
    <w:rsid w:val="4D1B794A"/>
    <w:rsid w:val="50AD5A4B"/>
    <w:rsid w:val="52814CE8"/>
    <w:rsid w:val="54D72BA2"/>
    <w:rsid w:val="55194E3C"/>
    <w:rsid w:val="555471EA"/>
    <w:rsid w:val="57D632E5"/>
    <w:rsid w:val="590758C8"/>
    <w:rsid w:val="5BB071D1"/>
    <w:rsid w:val="5CDC424B"/>
    <w:rsid w:val="5DE45AC2"/>
    <w:rsid w:val="5E986528"/>
    <w:rsid w:val="61FB4FD5"/>
    <w:rsid w:val="622C2D96"/>
    <w:rsid w:val="63755CF9"/>
    <w:rsid w:val="63960DED"/>
    <w:rsid w:val="647E331A"/>
    <w:rsid w:val="653931CD"/>
    <w:rsid w:val="654C52A6"/>
    <w:rsid w:val="65764D1A"/>
    <w:rsid w:val="660D48F1"/>
    <w:rsid w:val="66D97033"/>
    <w:rsid w:val="69504984"/>
    <w:rsid w:val="69DB3F75"/>
    <w:rsid w:val="69E62A99"/>
    <w:rsid w:val="6BDE2FAE"/>
    <w:rsid w:val="6C77637A"/>
    <w:rsid w:val="6D5B6C59"/>
    <w:rsid w:val="6FB21EA9"/>
    <w:rsid w:val="6FB75BD1"/>
    <w:rsid w:val="71602444"/>
    <w:rsid w:val="724B2112"/>
    <w:rsid w:val="748D4E81"/>
    <w:rsid w:val="75326F14"/>
    <w:rsid w:val="75EA0FD6"/>
    <w:rsid w:val="77DA6198"/>
    <w:rsid w:val="7BEC121D"/>
    <w:rsid w:val="7DB801C3"/>
    <w:rsid w:val="7EAB6818"/>
    <w:rsid w:val="7FB0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character" w:customStyle="1" w:styleId="5">
    <w:name w:val="font5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6">
    <w:name w:val="font21"/>
    <w:basedOn w:val="4"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7">
    <w:name w:val="font1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3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1">
    <w:name w:val="font91"/>
    <w:basedOn w:val="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2">
    <w:name w:val="font6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3">
    <w:name w:val="font71"/>
    <w:basedOn w:val="4"/>
    <w:qFormat/>
    <w:uiPriority w:val="0"/>
    <w:rPr>
      <w:rFonts w:ascii="Wingdings" w:hAnsi="Wingdings" w:cs="Wingdings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DOCTOR\AppData\Local\Temp\ksohtml\clip_image1097.png" TargetMode="External"/><Relationship Id="rId8" Type="http://schemas.openxmlformats.org/officeDocument/2006/relationships/image" Target="file:///C:\Users\DOCTOR\AppData\Local\Temp\ksohtml\clip_image1100.png" TargetMode="External"/><Relationship Id="rId7" Type="http://schemas.openxmlformats.org/officeDocument/2006/relationships/image" Target="file:///C:\Users\DOCTOR\AppData\Local\Temp\ksohtml\clip_image1098.png" TargetMode="External"/><Relationship Id="rId6" Type="http://schemas.openxmlformats.org/officeDocument/2006/relationships/image" Target="file:///C:\Users\DOCTOR\AppData\Local\Temp\ksohtml\clip_image1093.png" TargetMode="External"/><Relationship Id="rId5" Type="http://schemas.openxmlformats.org/officeDocument/2006/relationships/image" Target="file:///C:\Users\DOCTOR\AppData\Local\Temp\ksohtml\clip_image1099.png" TargetMode="External"/><Relationship Id="rId4" Type="http://schemas.openxmlformats.org/officeDocument/2006/relationships/image" Target="file:///C:\Users\DOCTOR\AppData\Local\Temp\ksohtml\clip_image1095.png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file:///C:\Users\DOCTOR\AppData\Local\Temp\ksohtml\clip_image1096.png" TargetMode="External"/><Relationship Id="rId10" Type="http://schemas.openxmlformats.org/officeDocument/2006/relationships/image" Target="file:///C:\Users\DOCTOR\AppData\Local\Temp\ksohtml\clip_image1094.pn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2025-08-14T08:55:00Z</dcterms:created>
  <dc:creator>DOCTOR</dc:creator>
  <cp:lastModifiedBy>DOCTOR</cp:lastModifiedBy>
  <dcterms:modified xsi:type="dcterms:W3CDTF">2026-07-31T08:15:14Z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