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826"/>
        <w:gridCol w:w="1266"/>
        <w:gridCol w:w="1490"/>
        <w:gridCol w:w="1376"/>
        <w:gridCol w:w="13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957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/>
            </w:pPr>
            <w:r>
              <w:rPr>
                <w:rFonts w:hint="eastAsia"/>
              </w:rPr>
              <w:t>服务项目质量技术标准</w:t>
            </w:r>
            <w:bookmarkStart w:id="0" w:name="_GoBack"/>
            <w:bookmarkEnd w:id="0"/>
            <w:r>
              <w:rPr>
                <w:rFonts w:hint="eastAsia"/>
              </w:rPr>
              <w:t>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38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服务项目名称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科室用房调整综合布线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项目编号      （或预算编号）</w:t>
            </w:r>
          </w:p>
        </w:tc>
        <w:tc>
          <w:tcPr>
            <w:tcW w:w="294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/>
            </w:pPr>
            <w:r>
              <w:t xml:space="preserve">2021-JQ06-F3723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 xml:space="preserve">总数量 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230项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预算单价</w:t>
            </w:r>
          </w:p>
          <w:p>
            <w:pPr>
              <w:rPr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0.1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预算总金额</w:t>
            </w:r>
          </w:p>
          <w:p>
            <w:pPr>
              <w:rPr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序号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技术和性能参数名称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招标参数和性能要求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基本要求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全院增加、调整、维修、维护等网络布线点位230点，包括面板、网线、水晶头、线槽、线管、机柜(必要时)等。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资质认证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3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技术和性能参数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3.1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基础参数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网线fluke测试达标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3.2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关键参数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1.外置线槽，使用PVC和铝板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2.穿线使用铜管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3.单孔、双孔、四孔面板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4.网线安装至配线架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4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报警及安全指标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设备不良事件情况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提供设备近三年不良事件情况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6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配置需求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86面板，网线，水晶头，线槽，线管，机柜，配线架，配线模块。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网络和模块为一线品牌（康普、安普、普天、施耐德等）。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7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配套医用试剂耗材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7.1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是否为开放性医用试剂耗材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否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7.2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封闭配套施加耗材品规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如有一次性使用封闭医用试剂耗材，厂家自报品规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8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物联网支持功能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售后条款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提供7X24小时的维护服务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9.1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保修年限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≥3年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9.2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预防性维修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/定期维护保养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保修期内故障点位免费维修服务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9.3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维修响应时间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出现故障响应时间≤4个小时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9.4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配件报价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提供消耗性配件（年平均更换大于1次的配件）和高值配件（价格大于设备成交价5%以上）的报价清单，且高值配件报价之和不得高于设备成交价的110%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9.5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升级与软件维护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无。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9.6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维修工时费计算方法及价格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至少提供按小时计费和按故障点计费两种方式，用户可自行选择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9.7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专用工具、资料及其它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提供设备配套的维修专用工具，资料（操作手册、维修手册等）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9.8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培训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提供使用培训和工程师培训。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4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9.9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交货期</w:t>
            </w:r>
          </w:p>
        </w:tc>
        <w:tc>
          <w:tcPr>
            <w:tcW w:w="4536" w:type="dxa"/>
            <w:gridSpan w:val="3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签订合同后1年内。</w:t>
            </w:r>
          </w:p>
        </w:tc>
        <w:tc>
          <w:tcPr>
            <w:tcW w:w="1524" w:type="dxa"/>
            <w:noWrap w:val="0"/>
            <w:vAlign w:val="center"/>
          </w:tcPr>
          <w:p>
            <w:pPr>
              <w:rPr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570" w:type="dxa"/>
            <w:gridSpan w:val="6"/>
            <w:noWrap w:val="0"/>
            <w:vAlign w:val="center"/>
          </w:tcPr>
          <w:p>
            <w:pPr>
              <w:rPr/>
            </w:pPr>
            <w:r>
              <w:rPr>
                <w:rFonts w:hint="eastAsia"/>
              </w:rPr>
              <w:t>备注：</w:t>
            </w:r>
            <w:r>
              <w:t>1</w:t>
            </w:r>
            <w:r>
              <w:rPr>
                <w:rFonts w:hint="eastAsia"/>
              </w:rPr>
              <w:t>.加注“*”号的技术指标为关键指标，≥1项未达到招标文件要求，即做废标处理。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      2.加注“·”号的技术指标为重要指标。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      3.加注“*”、“·”号的技术指标均需投标企业提供证明材料。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64F22"/>
    <w:rsid w:val="6356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2023-02-14T09:46:00Z</dcterms:created>
  <dc:creator>zyp</dc:creator>
  <cp:lastModifiedBy>zyp</cp:lastModifiedBy>
  <dcterms:modified xsi:type="dcterms:W3CDTF">2023-02-14T09:46:37Z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