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jc w:val="center"/>
        <w:tblLook w:val="04A0"/>
      </w:tblPr>
      <w:tblGrid>
        <w:gridCol w:w="992"/>
        <w:gridCol w:w="2508"/>
        <w:gridCol w:w="1418"/>
        <w:gridCol w:w="1701"/>
        <w:gridCol w:w="1027"/>
        <w:gridCol w:w="1524"/>
        <w:gridCol w:w="1315"/>
      </w:tblGrid>
      <w:tr w:rsidR="00272D02" w:rsidRPr="00272D02" w:rsidTr="00BA1865">
        <w:trPr>
          <w:trHeight w:val="567"/>
          <w:jc w:val="center"/>
        </w:trPr>
        <w:tc>
          <w:tcPr>
            <w:tcW w:w="1048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医疗设备技术需求确认表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设备名称</w:t>
            </w: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bCs/>
                <w:kern w:val="0"/>
                <w:sz w:val="24"/>
                <w:szCs w:val="24"/>
              </w:rPr>
              <w:t>连续性血液净化设备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总数量（台/套）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bCs/>
                <w:kern w:val="0"/>
                <w:sz w:val="24"/>
                <w:szCs w:val="24"/>
              </w:rPr>
              <w:t>1台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预算总金额（万元）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bCs/>
                <w:kern w:val="0"/>
                <w:sz w:val="24"/>
                <w:szCs w:val="24"/>
              </w:rPr>
              <w:t>35万元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技术和性能参数名称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招标参数和性能要求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*1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基本要求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适用于急性、慢性肾功能不全患者的替代治疗，通过体外循环血液净化方式连续、缓慢清除水及溶质，清除尿毒症中分子毒素，清除药物中毒和各种毒物等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*2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资质认证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具备CFDA认证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技术和性能参数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3.1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屏幕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≥10英寸显示屏、中文操作界面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*3.2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治疗模式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至少具备治疗模式：缓慢连续性超滤（SCUF）、连续性静脉静脉血液透析滤过（CVVHDF）、连续性静脉静脉血液滤过（CVVH）、连续性静脉静脉血液透析（CVVHD）、血液灌流（HP）、血浆置换（TPE）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3.3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稀释模式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可进行单独前或后稀释，或前后稀释同时进行，可随时改变比例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3.4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检测功能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具备，包括超声气泡检测，可以自动去除治疗过程中置换液内的气泡，避免凝血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·3.5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泵数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≥6个（5个蠕动泵+1个肝素泵）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·3.6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加热方式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采用血液加温方式，加温范围（35-41）℃，以0.5℃递进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3.7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安装管路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CRRT所有治疗模式均可采用一套管路完成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3.8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压力检测功能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可检测动脉压力、静脉压力、滤器前压力、滤出液压力、跨膜压、滤器下降压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3.9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再循环功能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具备，可保证在病人长时间脱机或转移后使用同一套管路恢复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3.10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最大血流速度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≥400ml/min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3.11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置换液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(0-7000)ml/h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3.12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透析液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(0-7000)ml/h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·3.13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秤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≥4秤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3.14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动脉压检测范围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(-250mmHg至+350mmHg)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3.15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静脉压检测范围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(-45mmHg至+300mmHg)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3.16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滤器前压力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(-45mmHg至+400mmHg)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3.17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滤过液压力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(-300mmHg至+350mmHg)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3.18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肝素泵抗凝模式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具备，连续模式：（0.5～15）ml/h 可调， 精度±0.2ml/h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3.19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枸橼酸模式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应用CVVH、CVVHDF、SCUF、CVVHD、TPE模式时，可以实现全自动枸橼酸模式，无需外接动力系统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3.20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内置电池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具备，持续时间≥10分钟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3.21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剂量计算器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具备剂量计算功能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3.22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可以调阅及下载病人治疗数据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具备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lastRenderedPageBreak/>
              <w:t>3.23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报警及安全指标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具备设备监测指标异常、设备故障、必要提示，声光报警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3.24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设备不良事件情况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近三年无不良事件情况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*4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配置需求（单台套）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一体化主机 1台，防尘罩1个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*5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配套医用试剂耗材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5.1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是否为开放性医用试剂耗材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厂家自报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color w:val="FF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5.2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封闭配套施加耗材品规/价格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厂家自报品规/价格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*6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售后条款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6.1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原厂保修年限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6.2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预防性维修</w:t>
            </w: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br/>
              <w:t>/定期维护保养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保修期内按维修手册要求提供定期维护保养服务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6.3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维修响应时间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维修到达现场时间≤0.5个工作日（京内）</w:t>
            </w: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br/>
              <w:t>维修到达现场时间≤3个工作日（京外）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6.4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配件报价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提供消耗性配件（年平均更换大于1次的配件）和高值配件（价格大于设备成交价5%以上）的报价清单，且高值配件报价之和不得高于设备成交价的110%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配件指设备正常使用时的必备零配件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6.5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升级与软件维护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保修期内免费升级和软件维护；保修期外，原软件维护仅收工时费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6.6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维修工时费计算方法及价格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至少提供按小时计费和按故障点计费两种方式，用户可自行选择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6.7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专用工具、资料及其它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提供设备配套的维修专用工具</w:t>
            </w: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（如有）</w:t>
            </w: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，资料（操作手册、维修手册等）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6.8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培训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提供使用培训和工程师原厂培训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6.9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交货期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合同签订后3个月内交货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72D02" w:rsidRPr="00272D02" w:rsidTr="00272D02">
        <w:trPr>
          <w:jc w:val="center"/>
        </w:trPr>
        <w:tc>
          <w:tcPr>
            <w:tcW w:w="10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02" w:rsidRPr="00BA1865" w:rsidRDefault="00272D02" w:rsidP="00272D02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备注：</w:t>
            </w:r>
            <w:r w:rsidRPr="00BA1865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1.</w:t>
            </w: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加注“*”号的技术指标为关键指标，≥1项未达到招标文件要求，即做废标处理。</w:t>
            </w:r>
            <w:r w:rsidRPr="00BA1865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br/>
            </w: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      2.加注“·”号的技术指标为重要指标。</w:t>
            </w:r>
            <w:r w:rsidRPr="00BA186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br/>
              <w:t xml:space="preserve">      3.加注“*”、“·”号的技术指标均需投标企业提供证明材料。</w:t>
            </w:r>
          </w:p>
        </w:tc>
      </w:tr>
    </w:tbl>
    <w:p w:rsidR="00B035CA" w:rsidRPr="00272D02" w:rsidRDefault="00B035CA"/>
    <w:sectPr w:rsidR="00B035CA" w:rsidRPr="00272D02" w:rsidSect="00CB5E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9D7" w:rsidRDefault="001969D7" w:rsidP="00272D02">
      <w:r>
        <w:separator/>
      </w:r>
    </w:p>
  </w:endnote>
  <w:endnote w:type="continuationSeparator" w:id="1">
    <w:p w:rsidR="001969D7" w:rsidRDefault="001969D7" w:rsidP="00272D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9D7" w:rsidRDefault="001969D7" w:rsidP="00272D02">
      <w:r>
        <w:separator/>
      </w:r>
    </w:p>
  </w:footnote>
  <w:footnote w:type="continuationSeparator" w:id="1">
    <w:p w:rsidR="001969D7" w:rsidRDefault="001969D7" w:rsidP="00272D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2D02"/>
    <w:rsid w:val="00145C98"/>
    <w:rsid w:val="001969D7"/>
    <w:rsid w:val="00272D02"/>
    <w:rsid w:val="002E0734"/>
    <w:rsid w:val="00681167"/>
    <w:rsid w:val="00B035CA"/>
    <w:rsid w:val="00BA1865"/>
    <w:rsid w:val="00CB5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E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72D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72D0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72D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72D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3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268</Words>
  <Characters>1531</Characters>
  <Application>Microsoft Office Word</Application>
  <DocSecurity>0</DocSecurity>
  <Lines>12</Lines>
  <Paragraphs>3</Paragraphs>
  <ScaleCrop>false</ScaleCrop>
  <Company>PLA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chenkun</dc:creator>
  <cp:keywords/>
  <dc:description/>
  <cp:lastModifiedBy>chenkun</cp:lastModifiedBy>
  <cp:revision>4</cp:revision>
  <dcterms:created xsi:type="dcterms:W3CDTF">2022-06-27T02:20:00Z</dcterms:created>
  <dcterms:modified xsi:type="dcterms:W3CDTF">2022-06-28T03:05:00Z</dcterms:modified>
</cp:coreProperties>
</file>