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0415" w:type="dxa"/>
        <w:jc w:val="center"/>
        <w:tblInd w:w="-158" w:type="dxa"/>
        <w:tblLayout w:type="fixed"/>
        <w:tblCellMar>
          <w:top w:w="0" w:type="dxa"/>
          <w:left w:w="108" w:type="dxa"/>
          <w:bottom w:w="0" w:type="dxa"/>
          <w:right w:w="108" w:type="dxa"/>
        </w:tblCellMar>
      </w:tblPr>
      <w:tblGrid>
        <w:gridCol w:w="1292"/>
        <w:gridCol w:w="2268"/>
        <w:gridCol w:w="268"/>
        <w:gridCol w:w="1984"/>
        <w:gridCol w:w="1276"/>
        <w:gridCol w:w="2268"/>
        <w:gridCol w:w="1059"/>
      </w:tblGrid>
      <w:tr>
        <w:tblPrEx>
          <w:tblLayout w:type="fixed"/>
          <w:tblCellMar>
            <w:top w:w="0" w:type="dxa"/>
            <w:left w:w="108" w:type="dxa"/>
            <w:bottom w:w="0" w:type="dxa"/>
            <w:right w:w="108" w:type="dxa"/>
          </w:tblCellMar>
        </w:tblPrEx>
        <w:trPr>
          <w:trHeight w:val="567" w:hRule="atLeast"/>
          <w:jc w:val="center"/>
        </w:trPr>
        <w:tc>
          <w:tcPr>
            <w:tcW w:w="10415" w:type="dxa"/>
            <w:gridSpan w:val="7"/>
            <w:tcBorders>
              <w:top w:val="nil"/>
              <w:left w:val="nil"/>
              <w:bottom w:val="single" w:color="auto" w:sz="4" w:space="0"/>
              <w:right w:val="nil"/>
            </w:tcBorders>
            <w:shd w:val="clear" w:color="auto" w:fill="auto"/>
            <w:vAlign w:val="center"/>
          </w:tcPr>
          <w:p>
            <w:pPr>
              <w:widowControl/>
              <w:jc w:val="center"/>
              <w:rPr>
                <w:rFonts w:ascii="方正小标宋简体" w:hAnsi="宋体" w:eastAsia="方正小标宋简体" w:cs="宋体"/>
                <w:b/>
                <w:bCs/>
                <w:color w:val="000000"/>
                <w:kern w:val="0"/>
                <w:sz w:val="40"/>
                <w:szCs w:val="40"/>
              </w:rPr>
            </w:pPr>
            <w:bookmarkStart w:id="0" w:name="RANGE!A1:H67"/>
            <w:r>
              <w:rPr>
                <w:rFonts w:hint="eastAsia" w:ascii="方正小标宋简体" w:hAnsi="宋体" w:eastAsia="方正小标宋简体" w:cs="宋体"/>
                <w:b/>
                <w:bCs/>
                <w:color w:val="000000"/>
                <w:kern w:val="0"/>
                <w:sz w:val="40"/>
                <w:szCs w:val="40"/>
              </w:rPr>
              <w:t>医疗设备技术需求确认表</w:t>
            </w:r>
            <w:bookmarkEnd w:id="0"/>
          </w:p>
        </w:tc>
      </w:tr>
      <w:tr>
        <w:tblPrEx>
          <w:tblLayout w:type="fixed"/>
          <w:tblCellMar>
            <w:top w:w="0" w:type="dxa"/>
            <w:left w:w="108" w:type="dxa"/>
            <w:bottom w:w="0" w:type="dxa"/>
            <w:right w:w="108" w:type="dxa"/>
          </w:tblCellMar>
        </w:tblPrEx>
        <w:trPr>
          <w:trHeight w:val="671" w:hRule="atLeast"/>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设备名称</w:t>
            </w:r>
          </w:p>
        </w:tc>
        <w:tc>
          <w:tcPr>
            <w:tcW w:w="2536" w:type="dxa"/>
            <w:gridSpan w:val="2"/>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有创呼吸机</w:t>
            </w:r>
          </w:p>
        </w:tc>
        <w:tc>
          <w:tcPr>
            <w:tcW w:w="1984"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总数量（台/套）</w:t>
            </w:r>
          </w:p>
        </w:tc>
        <w:tc>
          <w:tcPr>
            <w:tcW w:w="1276"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黑体" w:hAnsi="黑体" w:eastAsia="黑体" w:cs="宋体"/>
                <w:kern w:val="0"/>
                <w:sz w:val="24"/>
                <w:szCs w:val="24"/>
                <w:lang w:eastAsia="zh-CN"/>
              </w:rPr>
            </w:pPr>
            <w:r>
              <w:rPr>
                <w:rFonts w:hint="eastAsia" w:ascii="黑体" w:hAnsi="黑体" w:eastAsia="黑体" w:cs="宋体"/>
                <w:kern w:val="0"/>
                <w:sz w:val="24"/>
                <w:szCs w:val="24"/>
                <w:lang w:val="en-US" w:eastAsia="zh-CN"/>
              </w:rPr>
              <w:t>1</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黑体" w:hAnsi="黑体" w:eastAsia="黑体" w:cs="宋体"/>
                <w:kern w:val="0"/>
                <w:sz w:val="24"/>
                <w:szCs w:val="24"/>
              </w:rPr>
            </w:pPr>
            <w:r>
              <w:rPr>
                <w:rFonts w:hint="eastAsia" w:ascii="黑体" w:hAnsi="黑体" w:eastAsia="黑体" w:cs="宋体"/>
                <w:kern w:val="0"/>
                <w:sz w:val="24"/>
                <w:szCs w:val="24"/>
              </w:rPr>
              <w:t>预算总金额（万元）</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default" w:ascii="黑体" w:hAnsi="黑体" w:eastAsia="黑体" w:cs="宋体"/>
                <w:kern w:val="0"/>
                <w:sz w:val="24"/>
                <w:szCs w:val="24"/>
                <w:lang w:val="en-US" w:eastAsia="zh-CN"/>
              </w:rPr>
            </w:pPr>
            <w:r>
              <w:rPr>
                <w:rFonts w:hint="eastAsia" w:ascii="黑体" w:hAnsi="黑体" w:eastAsia="黑体" w:cs="宋体"/>
                <w:kern w:val="0"/>
                <w:sz w:val="24"/>
                <w:szCs w:val="24"/>
                <w:lang w:val="en-US" w:eastAsia="zh-CN"/>
              </w:rPr>
              <w:t>30</w:t>
            </w:r>
          </w:p>
        </w:tc>
      </w:tr>
      <w:tr>
        <w:tblPrEx>
          <w:tblLayout w:type="fixed"/>
          <w:tblCellMar>
            <w:top w:w="0" w:type="dxa"/>
            <w:left w:w="108" w:type="dxa"/>
            <w:bottom w:w="0" w:type="dxa"/>
            <w:right w:w="108" w:type="dxa"/>
          </w:tblCellMar>
        </w:tblPrEx>
        <w:trPr>
          <w:trHeight w:val="668" w:hRule="atLeast"/>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rPr>
            </w:pPr>
            <w:r>
              <w:rPr>
                <w:rFonts w:hint="eastAsia" w:ascii="宋体" w:hAnsi="宋体" w:eastAsia="宋体" w:cs="宋体"/>
                <w:b/>
                <w:kern w:val="0"/>
                <w:sz w:val="22"/>
              </w:rPr>
              <w:t>序号</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rPr>
            </w:pPr>
            <w:r>
              <w:rPr>
                <w:rFonts w:hint="eastAsia" w:ascii="宋体" w:hAnsi="宋体" w:eastAsia="宋体" w:cs="宋体"/>
                <w:b/>
                <w:kern w:val="0"/>
                <w:sz w:val="22"/>
              </w:rPr>
              <w:t>技术和性能参数名称</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rPr>
            </w:pPr>
            <w:r>
              <w:rPr>
                <w:rFonts w:hint="eastAsia" w:ascii="宋体" w:hAnsi="宋体" w:eastAsia="宋体" w:cs="宋体"/>
                <w:b/>
                <w:kern w:val="0"/>
                <w:sz w:val="22"/>
              </w:rPr>
              <w:t>招标参数和性能要求</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hint="eastAsia" w:ascii="宋体" w:hAnsi="宋体" w:eastAsia="宋体" w:cs="宋体"/>
                <w:b/>
                <w:kern w:val="0"/>
                <w:sz w:val="22"/>
              </w:rPr>
            </w:pPr>
            <w:r>
              <w:rPr>
                <w:rFonts w:hint="eastAsia" w:ascii="宋体" w:hAnsi="宋体" w:eastAsia="宋体" w:cs="宋体"/>
                <w:b/>
                <w:kern w:val="0"/>
                <w:sz w:val="22"/>
              </w:rPr>
              <w:t>备</w:t>
            </w:r>
            <w:bookmarkStart w:id="1" w:name="_GoBack"/>
            <w:bookmarkEnd w:id="1"/>
            <w:r>
              <w:rPr>
                <w:rFonts w:hint="eastAsia" w:ascii="宋体" w:hAnsi="宋体" w:eastAsia="宋体" w:cs="宋体"/>
                <w:b/>
                <w:kern w:val="0"/>
                <w:sz w:val="22"/>
              </w:rPr>
              <w:t>注</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*1</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基本要求</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用于呼吸功能障碍患者的辅助通气功能，适用于成人、儿童</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*2</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资质认证</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具备CFDA认证和（FDA或CE）认证</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技术和性能参数</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通气模式</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*3.1.1</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通气模式1</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容量控制通气模式</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*3.1.2</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通气模式2</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压力控制通气模式</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*3.1.3</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通气模式3</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同步间歇指令通气模式</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*3.1.4</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通气模式4</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持续气道正压模式</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*3.1.5</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通气模式5</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双水平气道正压通气模式</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*3.1.6</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通气模式6</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无创通气模式</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·3.1.7</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通气模式7</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气道压力释放通气模式</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·3.1.8</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通气模式8</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分钟指令通气模式</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3.2</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潮气量</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(20－3000)ml，最大误差≤15%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3.3</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呼吸频率</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（4－80）次/分，最大误差≤10%或≤±1次/分（取绝对值大者）</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3.4</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xml:space="preserve">氧浓度:     </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（21－100)%，最大误差≤5%</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*3.5</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最大吸气流速</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≥180L/min</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·3.6</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高流量氧疗功能</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(10-50)L/min</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3.7</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升级及传输功能</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软硬件升级及数据传输能力，病人趋势数据可以通过接口直接输出</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3.8</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补偿功能</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自动泄漏补偿功能</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3.9</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评定功能</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xml:space="preserve">脱机评定功能 </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3.10</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自检功能</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开机自检、全面自检，压力传感器、流量传感器可自动标定</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3.11</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监测功能</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·3.11.1</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肺力学监测</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实时动态监测气道阻力和肺顺应性，并升级肺视图功能</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3.11.2</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实时波形监测功能</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压力－时间波形和流速－时间波形容量时间波形，趋势图</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3.11.3</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呼吸环</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可显示压力-容量环或流量-容量环</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·3.12</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雾化功能</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具备雾化功能</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*3.13</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4"/>
                <w:szCs w:val="24"/>
              </w:rPr>
            </w:pPr>
            <w:r>
              <w:rPr>
                <w:rFonts w:hint="eastAsia" w:ascii="宋体" w:hAnsi="宋体" w:eastAsia="宋体" w:cs="宋体"/>
                <w:kern w:val="0"/>
                <w:sz w:val="24"/>
                <w:szCs w:val="24"/>
              </w:rPr>
              <w:t>流量传感器</w:t>
            </w:r>
          </w:p>
        </w:tc>
        <w:tc>
          <w:tcPr>
            <w:tcW w:w="5796" w:type="dxa"/>
            <w:gridSpan w:val="4"/>
            <w:tcBorders>
              <w:top w:val="single" w:color="auto" w:sz="4" w:space="0"/>
              <w:left w:val="nil"/>
              <w:bottom w:val="single" w:color="auto" w:sz="4" w:space="0"/>
              <w:right w:val="nil"/>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kern w:val="0"/>
                <w:sz w:val="24"/>
                <w:szCs w:val="24"/>
              </w:rPr>
              <w:t>超声流量传感器或热丝流量传感器，非压差式传感器</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·3.14</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显示屏</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≥14英寸彩色显示器</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·3.15</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监测功能</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可升级CO</w:t>
            </w:r>
            <w:r>
              <w:rPr>
                <w:rFonts w:hint="eastAsia" w:ascii="宋体" w:hAnsi="宋体" w:eastAsia="宋体" w:cs="宋体"/>
                <w:kern w:val="0"/>
                <w:sz w:val="24"/>
                <w:szCs w:val="24"/>
                <w:vertAlign w:val="subscript"/>
              </w:rPr>
              <w:t>2</w:t>
            </w:r>
            <w:r>
              <w:rPr>
                <w:rFonts w:hint="eastAsia" w:ascii="宋体" w:hAnsi="宋体" w:eastAsia="宋体" w:cs="宋体"/>
                <w:kern w:val="0"/>
                <w:sz w:val="24"/>
                <w:szCs w:val="24"/>
              </w:rPr>
              <w:t>监测功能</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*3.16</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电池工作时间</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≥30分钟，可用电池开机工作，关机情况下可对电池充电</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*3.17</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吸气伺服</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吸气伺服机构不接受涡轮机</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*3.18</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长效氧电池</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顺磁氧传感器或超声氧传感器</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配置要求</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每台套</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4.1</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主机</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≥1台</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4.2</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呼吸管路</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≥2套（成人、儿童各一套）</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4.3</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湿化器</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≥1套</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4.4</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专用台车</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≥1台</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4.5</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支架</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≥1个</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4.6</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模拟肺</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≥1套</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5</w:t>
            </w:r>
          </w:p>
        </w:tc>
        <w:tc>
          <w:tcPr>
            <w:tcW w:w="2268"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设备不良事件情况</w:t>
            </w:r>
          </w:p>
        </w:tc>
        <w:tc>
          <w:tcPr>
            <w:tcW w:w="5796" w:type="dxa"/>
            <w:gridSpan w:val="4"/>
            <w:tcBorders>
              <w:top w:val="single" w:color="auto" w:sz="4" w:space="0"/>
              <w:left w:val="nil"/>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厂家提供设备近三年不良事件情况</w:t>
            </w:r>
          </w:p>
        </w:tc>
        <w:tc>
          <w:tcPr>
            <w:tcW w:w="1059" w:type="dxa"/>
            <w:tcBorders>
              <w:top w:val="single" w:color="auto" w:sz="4" w:space="0"/>
              <w:left w:val="nil"/>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w:t>
            </w:r>
          </w:p>
        </w:tc>
        <w:tc>
          <w:tcPr>
            <w:tcW w:w="2268" w:type="dxa"/>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center"/>
              <w:rPr>
                <w:rFonts w:ascii="宋体" w:hAnsi="宋体" w:eastAsia="宋体" w:cs="宋体"/>
                <w:kern w:val="0"/>
                <w:sz w:val="22"/>
              </w:rPr>
            </w:pPr>
            <w:r>
              <w:rPr>
                <w:rFonts w:hint="eastAsia" w:ascii="宋体" w:hAnsi="宋体" w:eastAsia="宋体" w:cs="宋体"/>
                <w:kern w:val="0"/>
                <w:sz w:val="22"/>
              </w:rPr>
              <w:t>物联网支持功能</w:t>
            </w:r>
          </w:p>
        </w:tc>
        <w:tc>
          <w:tcPr>
            <w:tcW w:w="5796" w:type="dxa"/>
            <w:gridSpan w:val="4"/>
            <w:tcBorders>
              <w:top w:val="single" w:color="auto" w:sz="4" w:space="0"/>
              <w:left w:val="single" w:color="auto" w:sz="4" w:space="0"/>
              <w:bottom w:val="single" w:color="auto" w:sz="4" w:space="0"/>
              <w:right w:val="single" w:color="auto" w:sz="4" w:space="0"/>
            </w:tcBorders>
            <w:shd w:val="clear" w:color="000000" w:fill="FFFFFF"/>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6.1</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联网要求</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设备具备物联网功能,能够通过有线或者无线的方式联网。数据内容包括设备运行状态和关键系统参数等。对于监护仪、呼吸机等生命支持类设备，应包括波形、体征、报警等信息；对于检验类等实验室设备，应包括系统关键参数和日志数据等信息；对于大型影像设备、超声设备等，应包括日志数据、扫描数据、设备运行状态等信息。</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6.2</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技术文件</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设备厂商向院方提供详细的有关接口形式和数据传输协议的说明文档，交由物联网项目组验收,并配合院方解决设备联网相关问题。</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售后条款</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7.1</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保修年限</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≥3年，保修期内开机率不低于95%（按365日/年计算，含节假日)，未达到要求的开机率天数，按双倍天数顺延保修期</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7.2</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预防性维修</w:t>
            </w:r>
            <w:r>
              <w:rPr>
                <w:rFonts w:hint="eastAsia" w:ascii="宋体" w:hAnsi="宋体" w:eastAsia="宋体" w:cs="宋体"/>
                <w:kern w:val="0"/>
                <w:sz w:val="22"/>
              </w:rPr>
              <w:br w:type="textWrapping"/>
            </w:r>
            <w:r>
              <w:rPr>
                <w:rFonts w:hint="eastAsia" w:ascii="宋体" w:hAnsi="宋体" w:eastAsia="宋体" w:cs="宋体"/>
                <w:kern w:val="0"/>
                <w:sz w:val="22"/>
              </w:rPr>
              <w:t>/定期维护保养</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保修期内按维修手册要求提供定期维护保养服务</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7.3</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维修响应时间</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维修到达现场时间≤0.5个工作日（京内）</w:t>
            </w:r>
            <w:r>
              <w:rPr>
                <w:rFonts w:hint="eastAsia" w:ascii="宋体" w:hAnsi="宋体" w:eastAsia="宋体" w:cs="宋体"/>
                <w:kern w:val="0"/>
                <w:sz w:val="22"/>
              </w:rPr>
              <w:br w:type="textWrapping"/>
            </w:r>
            <w:r>
              <w:rPr>
                <w:rFonts w:hint="eastAsia" w:ascii="宋体" w:hAnsi="宋体" w:eastAsia="宋体" w:cs="宋体"/>
                <w:kern w:val="0"/>
                <w:sz w:val="22"/>
              </w:rPr>
              <w:t>维修到达现场时间≤3个工作日（京外）</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7.4</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配件报价</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提供消耗性配件（年平均更换大于1次的配件）和高值配件（价格大于设备成交价5%以上）的报价清单，且高值配件报价之和不得高于设备成交价的110%</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7.5</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升级与软件维护</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保修期内免费升级和软件维护；保修期外，原软件维护仅收工时费</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7.6</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维修工时费计算方法及价格</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至少提供按小时计费和按故障点计费两种方式，用户可自行选择</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7.7</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专用工具、资料及其它</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提供设备配套的维修专用工具</w:t>
            </w:r>
            <w:r>
              <w:rPr>
                <w:rFonts w:hint="eastAsia" w:ascii="宋体" w:hAnsi="宋体" w:eastAsia="宋体" w:cs="宋体"/>
                <w:color w:val="000000"/>
                <w:kern w:val="0"/>
                <w:sz w:val="22"/>
              </w:rPr>
              <w:t>（如有）</w:t>
            </w:r>
            <w:r>
              <w:rPr>
                <w:rFonts w:hint="eastAsia" w:ascii="宋体" w:hAnsi="宋体" w:eastAsia="宋体" w:cs="宋体"/>
                <w:kern w:val="0"/>
                <w:sz w:val="22"/>
              </w:rPr>
              <w:t>，资料（操作手册、维修手册等）</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7.8</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培训</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提供使用培训和工程师培训（厂家自报方式）</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292"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7.9</w:t>
            </w:r>
          </w:p>
        </w:tc>
        <w:tc>
          <w:tcPr>
            <w:tcW w:w="2268"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交货期</w:t>
            </w:r>
          </w:p>
        </w:tc>
        <w:tc>
          <w:tcPr>
            <w:tcW w:w="5796" w:type="dxa"/>
            <w:gridSpan w:val="4"/>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2"/>
              </w:rPr>
            </w:pPr>
            <w:r>
              <w:rPr>
                <w:rFonts w:hint="eastAsia" w:ascii="宋体" w:hAnsi="宋体" w:eastAsia="宋体" w:cs="宋体"/>
                <w:kern w:val="0"/>
                <w:sz w:val="22"/>
              </w:rPr>
              <w:t>合同签订后3个月内交货</w:t>
            </w:r>
          </w:p>
        </w:tc>
        <w:tc>
          <w:tcPr>
            <w:tcW w:w="1059" w:type="dxa"/>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center"/>
              <w:rPr>
                <w:rFonts w:ascii="宋体" w:hAnsi="宋体" w:eastAsia="宋体" w:cs="宋体"/>
                <w:kern w:val="0"/>
                <w:sz w:val="22"/>
              </w:rPr>
            </w:pPr>
            <w:r>
              <w:rPr>
                <w:rFonts w:hint="eastAsia" w:ascii="宋体" w:hAnsi="宋体" w:eastAsia="宋体" w:cs="宋体"/>
                <w:kern w:val="0"/>
                <w:sz w:val="22"/>
              </w:rPr>
              <w:t>　</w:t>
            </w:r>
          </w:p>
        </w:tc>
      </w:tr>
      <w:tr>
        <w:tblPrEx>
          <w:tblLayout w:type="fixed"/>
          <w:tblCellMar>
            <w:top w:w="0" w:type="dxa"/>
            <w:left w:w="108" w:type="dxa"/>
            <w:bottom w:w="0" w:type="dxa"/>
            <w:right w:w="108" w:type="dxa"/>
          </w:tblCellMar>
        </w:tblPrEx>
        <w:trPr>
          <w:jc w:val="center"/>
        </w:trPr>
        <w:tc>
          <w:tcPr>
            <w:tcW w:w="10415" w:type="dxa"/>
            <w:gridSpan w:val="7"/>
            <w:tcBorders>
              <w:top w:val="single" w:color="auto" w:sz="4" w:space="0"/>
              <w:left w:val="single" w:color="auto" w:sz="4" w:space="0"/>
              <w:bottom w:val="single" w:color="auto" w:sz="4" w:space="0"/>
              <w:right w:val="single" w:color="auto" w:sz="4" w:space="0"/>
            </w:tcBorders>
            <w:shd w:val="clear" w:color="auto" w:fill="auto"/>
            <w:vAlign w:val="center"/>
          </w:tcPr>
          <w:p>
            <w:pPr>
              <w:widowControl/>
              <w:jc w:val="left"/>
              <w:rPr>
                <w:rFonts w:ascii="宋体" w:hAnsi="宋体" w:eastAsia="宋体" w:cs="宋体"/>
                <w:kern w:val="0"/>
                <w:sz w:val="24"/>
                <w:szCs w:val="24"/>
              </w:rPr>
            </w:pPr>
            <w:r>
              <w:rPr>
                <w:rFonts w:hint="eastAsia" w:ascii="宋体" w:hAnsi="宋体" w:eastAsia="宋体" w:cs="宋体"/>
                <w:color w:val="000000"/>
                <w:kern w:val="0"/>
                <w:sz w:val="24"/>
                <w:szCs w:val="24"/>
              </w:rPr>
              <w:t>备注：</w:t>
            </w:r>
            <w:r>
              <w:rPr>
                <w:rFonts w:ascii="宋体" w:hAnsi="宋体" w:eastAsia="宋体" w:cs="宋体"/>
                <w:color w:val="000000"/>
                <w:kern w:val="0"/>
                <w:sz w:val="24"/>
                <w:szCs w:val="24"/>
              </w:rPr>
              <w:t>1.</w:t>
            </w:r>
            <w:r>
              <w:rPr>
                <w:rFonts w:hint="eastAsia" w:ascii="宋体" w:hAnsi="宋体" w:eastAsia="宋体" w:cs="宋体"/>
                <w:color w:val="000000"/>
                <w:kern w:val="0"/>
                <w:sz w:val="24"/>
                <w:szCs w:val="24"/>
              </w:rPr>
              <w:t>加注“*”号的技术指标为关键指标，≥1项未达到招标文件要求，即做废标处理。</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2.加注“·”号的技术指标为重要指标。</w:t>
            </w:r>
            <w:r>
              <w:rPr>
                <w:rFonts w:hint="eastAsia" w:ascii="宋体" w:hAnsi="宋体" w:eastAsia="宋体" w:cs="宋体"/>
                <w:color w:val="000000"/>
                <w:kern w:val="0"/>
                <w:sz w:val="24"/>
                <w:szCs w:val="24"/>
              </w:rPr>
              <w:br w:type="textWrapping"/>
            </w:r>
            <w:r>
              <w:rPr>
                <w:rFonts w:hint="eastAsia" w:ascii="宋体" w:hAnsi="宋体" w:eastAsia="宋体" w:cs="宋体"/>
                <w:color w:val="000000"/>
                <w:kern w:val="0"/>
                <w:sz w:val="24"/>
                <w:szCs w:val="24"/>
              </w:rPr>
              <w:t xml:space="preserve">      3.加注“*”、“·”号的技术指标均需投标企业提供证明材料。</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080E0000" w:usb2="00000000"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00007A87" w:usb1="80000000" w:usb2="00000008" w:usb3="00000000" w:csb0="400001FF" w:csb1="FFFF0000"/>
  </w:font>
  <w:font w:name="黑体">
    <w:panose1 w:val="02010600030101010101"/>
    <w:charset w:val="86"/>
    <w:family w:val="auto"/>
    <w:pitch w:val="default"/>
    <w:sig w:usb0="00000001" w:usb1="080E0000" w:usb2="00000000" w:usb3="00000000" w:csb0="00040000" w:csb1="00000000"/>
  </w:font>
  <w:font w:name="Courier New">
    <w:panose1 w:val="02070309020205020404"/>
    <w:charset w:val="01"/>
    <w:family w:val="modern"/>
    <w:pitch w:val="default"/>
    <w:sig w:usb0="00007A87" w:usb1="80000000" w:usb2="00000008"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A00002EF" w:usb1="4000207B" w:usb2="00000000" w:usb3="00000000" w:csb0="2000009F" w:csb1="00000000"/>
  </w:font>
  <w:font w:name="方正小标宋简体">
    <w:altName w:val="宋体-方正超大字符集"/>
    <w:panose1 w:val="03000509000000000000"/>
    <w:charset w:val="86"/>
    <w:family w:val="script"/>
    <w:pitch w:val="default"/>
    <w:sig w:usb0="00000000" w:usb1="00000000" w:usb2="00000010" w:usb3="00000000" w:csb0="00040000" w:csb1="00000000"/>
  </w:font>
  <w:font w:name="宋体-方正超大字符集">
    <w:panose1 w:val="03000509000000000000"/>
    <w:charset w:val="86"/>
    <w:family w:val="auto"/>
    <w:pitch w:val="default"/>
    <w:sig w:usb0="00000001" w:usb1="080E0000" w:usb2="00000000" w:usb3="00000000" w:csb0="00040000" w:csb1="00000000"/>
  </w:font>
  <w:font w:name="Tahoma">
    <w:panose1 w:val="020B0604030504040204"/>
    <w:charset w:val="00"/>
    <w:family w:val="auto"/>
    <w:pitch w:val="default"/>
    <w:sig w:usb0="61007A87" w:usb1="80000000" w:usb2="00000008" w:usb3="00000000" w:csb0="200101FF" w:csb1="2028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A91A98"/>
    <w:rsid w:val="001C70F4"/>
    <w:rsid w:val="00A91A98"/>
    <w:rsid w:val="6730445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semiHidden/>
    <w:unhideWhenUsed/>
    <w:uiPriority w:val="1"/>
  </w:style>
  <w:style w:type="table" w:default="1" w:styleId="4">
    <w:name w:val="Normal Table"/>
    <w:semiHidden/>
    <w:unhideWhenUsed/>
    <w:qFormat/>
    <w:uiPriority w:val="99"/>
    <w:tblPr>
      <w:tblLayout w:type="fixed"/>
      <w:tblCellMar>
        <w:top w:w="0" w:type="dxa"/>
        <w:left w:w="108" w:type="dxa"/>
        <w:bottom w:w="0" w:type="dxa"/>
        <w:right w:w="108" w:type="dxa"/>
      </w:tblCellMar>
    </w:tblPr>
  </w:style>
  <w:style w:type="paragraph" w:styleId="2">
    <w:name w:val="footer"/>
    <w:basedOn w:val="1"/>
    <w:link w:val="7"/>
    <w:semiHidden/>
    <w:unhideWhenUsed/>
    <w:uiPriority w:val="99"/>
    <w:pPr>
      <w:tabs>
        <w:tab w:val="center" w:pos="4153"/>
        <w:tab w:val="right" w:pos="8306"/>
      </w:tabs>
      <w:snapToGrid w:val="0"/>
      <w:jc w:val="left"/>
    </w:pPr>
    <w:rPr>
      <w:sz w:val="18"/>
      <w:szCs w:val="18"/>
    </w:rPr>
  </w:style>
  <w:style w:type="paragraph" w:styleId="3">
    <w:name w:val="header"/>
    <w:basedOn w:val="1"/>
    <w:link w:val="6"/>
    <w:semiHidden/>
    <w:unhideWhenUsed/>
    <w:uiPriority w:val="99"/>
    <w:pPr>
      <w:pBdr>
        <w:bottom w:val="single" w:color="auto" w:sz="6" w:space="1"/>
      </w:pBdr>
      <w:tabs>
        <w:tab w:val="center" w:pos="4153"/>
        <w:tab w:val="right" w:pos="8306"/>
      </w:tabs>
      <w:snapToGrid w:val="0"/>
      <w:jc w:val="center"/>
    </w:pPr>
    <w:rPr>
      <w:sz w:val="18"/>
      <w:szCs w:val="18"/>
    </w:rPr>
  </w:style>
  <w:style w:type="character" w:customStyle="1" w:styleId="6">
    <w:name w:val="页眉 Char"/>
    <w:basedOn w:val="5"/>
    <w:link w:val="3"/>
    <w:semiHidden/>
    <w:uiPriority w:val="99"/>
    <w:rPr>
      <w:sz w:val="18"/>
      <w:szCs w:val="18"/>
    </w:rPr>
  </w:style>
  <w:style w:type="character" w:customStyle="1" w:styleId="7">
    <w:name w:val="页脚 Char"/>
    <w:basedOn w:val="5"/>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PLA</Company>
  <Pages>2</Pages>
  <Words>294</Words>
  <Characters>1680</Characters>
  <Lines>14</Lines>
  <Paragraphs>3</Paragraphs>
  <TotalTime>6</TotalTime>
  <ScaleCrop>false</ScaleCrop>
  <LinksUpToDate>false</LinksUpToDate>
  <CharactersWithSpaces>1971</CharactersWithSpaces>
  <Application>WPS Office_11.3.0.8775_F1E327BC-269C-435d-A152-05C5408002CA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2022-08-23T09:52:00Z</dcterms:created>
  <dc:creator>chenkun</dc:creator>
  <cp:lastModifiedBy>doctor</cp:lastModifiedBy>
  <dcterms:modified xsi:type="dcterms:W3CDTF">2023-03-02T08:40:51Z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2052-11.3.0.8775</vt:lpwstr>
  </property>
</Properties>
</file>