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2014"/>
        <w:gridCol w:w="567"/>
        <w:gridCol w:w="1843"/>
        <w:gridCol w:w="1276"/>
        <w:gridCol w:w="2144"/>
        <w:gridCol w:w="15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高频电刀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幼圆" w:hAnsi="宋体" w:eastAsia="幼圆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幼圆" w:hAnsi="宋体" w:eastAsia="幼圆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幼圆" w:hAnsi="宋体" w:eastAsia="幼圆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幼圆" w:hAnsi="宋体" w:eastAsia="幼圆" w:cs="宋体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幼圆" w:hAnsi="宋体" w:eastAsia="幼圆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幼圆" w:hAnsi="宋体" w:eastAsia="幼圆" w:cs="宋体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幼圆" w:hAnsi="宋体" w:eastAsia="幼圆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幼圆" w:hAnsi="宋体" w:eastAsia="幼圆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*1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基本要求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用于各种外科开放及腔镜手术的切割，凝血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*2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资质认证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具备CFDA和FDA认证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技术和性能参数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输出频率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≥400KHz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*3.2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主机一体化设计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主机具有一体化设计，所需功能无需模块组合添加，单极切割、单极凝血和双极凝血功能分别为三个或三个以上独立的功能区域，直观操作，无须切换显示屏、调节按钮及模式选择键等。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3.3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输出特性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浮地式（隔离式）输出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*3.4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显示屏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液晶触摸显示屏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·3.5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功率实时调节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所有模式都具备以每秒≥400000次自动检测组织阻抗变化并适时调节输出功率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3.6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回路电极板接触阻抗检测功能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实时监测回路电极板与病人皮肤的接触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·3.6.1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负极板监测阻抗范围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（5-135）欧姆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3.6.2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安全监测操作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接触电阻变化范围≥35%时，主机报警并自动停止输出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3.7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单极凝血模式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≥5种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·3.7.1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刀笔功能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具备三按键刀笔（电切，电凝，切凝一体）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·3.7.2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刀笔功率调节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可以在无菌区内使用刀笔自主调节主机功率输出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·3.8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双极模式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≥5种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·3.9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双路输出电灼模式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最大功率120W、峰值电压≥3000V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·3.10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双路输出喷凝模式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最大功率120W 、峰值电压≥3900V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3.11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脚踏开关接口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≥3个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·3.12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脚踏连接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可同时连接①单极脚踏开关②双极脚踏开关③三踏板脚踏开关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3.13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机器人连接功能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具备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3.14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心电图消隐功能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可与心电图连接，实现心电图消隐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·3.15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USB连接口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具备USB连接口，用于主机升级和维修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配置需求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对设备软件、硬件、器械、配件耗材配置及数量要求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软件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硬件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主机一台，单极脚踏一个，双极脚踏一个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4.3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器械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4.4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配件耗材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一次性刀头每台≥10个，负极板每台≥10个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*5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售后条款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5.1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原厂保修年限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5.2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预防性维修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/定期维护保养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保修期内按维修手册要求提供定期维护保养服务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5.3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维修响应时间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维修到达现场时间≤3个工作日（京外）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5.4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配件报价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配件指设备正常使用时的必备零配件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5.5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升级与软件维护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5.6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维修工时费计算方法及价格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至少提供按小时计费和按故障点计费两种方式，用户可自行选择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5.7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专用工具、资料及其它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提供设备配套的维修专用工具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（如有）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，资料（操作手册、维修手册等）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5.8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培训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提供使用培训和工程师原厂培训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5.9</w:t>
            </w:r>
          </w:p>
        </w:tc>
        <w:tc>
          <w:tcPr>
            <w:tcW w:w="2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交货期</w:t>
            </w:r>
          </w:p>
        </w:tc>
        <w:tc>
          <w:tcPr>
            <w:tcW w:w="5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合同签订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1个月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2"/>
              </w:rPr>
              <w:t>内交货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7050"/>
    <w:rsid w:val="000A00F2"/>
    <w:rsid w:val="003A1374"/>
    <w:rsid w:val="00580BAC"/>
    <w:rsid w:val="00587050"/>
    <w:rsid w:val="0092793C"/>
    <w:rsid w:val="00BC668F"/>
    <w:rsid w:val="00C94BD8"/>
    <w:rsid w:val="00CF16EC"/>
    <w:rsid w:val="722C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PLA</Company>
  <Pages>2</Pages>
  <Words>224</Words>
  <Characters>1282</Characters>
  <Lines>10</Lines>
  <Paragraphs>3</Paragraphs>
  <TotalTime>7</TotalTime>
  <ScaleCrop>false</ScaleCrop>
  <LinksUpToDate>false</LinksUpToDate>
  <CharactersWithSpaces>1503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2022-08-23T09:42:00Z</dcterms:created>
  <dc:creator>chenkun</dc:creator>
  <cp:lastModifiedBy>doctor</cp:lastModifiedBy>
  <dcterms:modified xsi:type="dcterms:W3CDTF">2022-11-15T00:16:08Z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