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15" w:type="dxa"/>
        <w:jc w:val="center"/>
        <w:tblInd w:w="0" w:type="dxa"/>
        <w:tblLayout w:type="fixed"/>
        <w:tblCellMar>
          <w:top w:w="0" w:type="dxa"/>
          <w:left w:w="108" w:type="dxa"/>
          <w:bottom w:w="0" w:type="dxa"/>
          <w:right w:w="108" w:type="dxa"/>
        </w:tblCellMar>
      </w:tblPr>
      <w:tblGrid>
        <w:gridCol w:w="1275"/>
        <w:gridCol w:w="2048"/>
        <w:gridCol w:w="1138"/>
        <w:gridCol w:w="1272"/>
        <w:gridCol w:w="854"/>
        <w:gridCol w:w="2835"/>
        <w:gridCol w:w="993"/>
      </w:tblGrid>
      <w:tr>
        <w:tblPrEx>
          <w:tblLayout w:type="fixed"/>
          <w:tblCellMar>
            <w:top w:w="0" w:type="dxa"/>
            <w:left w:w="108" w:type="dxa"/>
            <w:bottom w:w="0" w:type="dxa"/>
            <w:right w:w="108" w:type="dxa"/>
          </w:tblCellMar>
        </w:tblPrEx>
        <w:trPr>
          <w:trHeight w:val="567" w:hRule="atLeast"/>
          <w:jc w:val="center"/>
        </w:trPr>
        <w:tc>
          <w:tcPr>
            <w:tcW w:w="10415" w:type="dxa"/>
            <w:gridSpan w:val="7"/>
            <w:tcBorders>
              <w:top w:val="nil"/>
              <w:left w:val="nil"/>
              <w:bottom w:val="single" w:color="auto" w:sz="4" w:space="0"/>
              <w:right w:val="nil"/>
            </w:tcBorders>
            <w:shd w:val="clear" w:color="auto" w:fill="auto"/>
            <w:vAlign w:val="center"/>
          </w:tcPr>
          <w:p>
            <w:pPr>
              <w:widowControl/>
              <w:jc w:val="center"/>
              <w:rPr>
                <w:rFonts w:cs="宋体" w:asciiTheme="minorEastAsia" w:hAnsiTheme="minorEastAsia"/>
                <w:b/>
                <w:bCs/>
                <w:color w:val="000000"/>
                <w:kern w:val="0"/>
                <w:sz w:val="24"/>
                <w:szCs w:val="24"/>
              </w:rPr>
            </w:pPr>
            <w:bookmarkStart w:id="0" w:name="RANGE!A1:H63"/>
            <w:r>
              <w:rPr>
                <w:rFonts w:hint="eastAsia" w:cs="宋体" w:asciiTheme="minorEastAsia" w:hAnsiTheme="minorEastAsia"/>
                <w:b/>
                <w:bCs/>
                <w:color w:val="000000"/>
                <w:kern w:val="0"/>
                <w:sz w:val="24"/>
                <w:szCs w:val="24"/>
              </w:rPr>
              <w:t>医疗设备技术需求确认表</w:t>
            </w:r>
            <w:bookmarkEnd w:id="0"/>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b/>
                <w:kern w:val="0"/>
                <w:sz w:val="24"/>
                <w:szCs w:val="24"/>
              </w:rPr>
            </w:pPr>
            <w:r>
              <w:rPr>
                <w:rFonts w:hint="eastAsia" w:cs="宋体" w:asciiTheme="minorEastAsia" w:hAnsiTheme="minorEastAsia"/>
                <w:b/>
                <w:kern w:val="0"/>
                <w:sz w:val="24"/>
                <w:szCs w:val="24"/>
              </w:rPr>
              <w:t>设备名称</w:t>
            </w:r>
          </w:p>
        </w:tc>
        <w:tc>
          <w:tcPr>
            <w:tcW w:w="20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有创呼吸机</w:t>
            </w:r>
          </w:p>
        </w:tc>
        <w:tc>
          <w:tcPr>
            <w:tcW w:w="2410"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cs="宋体" w:asciiTheme="minorEastAsia" w:hAnsiTheme="minorEastAsia"/>
                <w:b/>
                <w:kern w:val="0"/>
                <w:sz w:val="24"/>
                <w:szCs w:val="24"/>
              </w:rPr>
            </w:pPr>
            <w:r>
              <w:rPr>
                <w:rFonts w:hint="eastAsia" w:cs="宋体" w:asciiTheme="minorEastAsia" w:hAnsiTheme="minorEastAsia"/>
                <w:b/>
                <w:kern w:val="0"/>
                <w:sz w:val="24"/>
                <w:szCs w:val="24"/>
              </w:rPr>
              <w:t>总数量（台/套）</w:t>
            </w:r>
          </w:p>
        </w:tc>
        <w:tc>
          <w:tcPr>
            <w:tcW w:w="854"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1</w:t>
            </w:r>
          </w:p>
        </w:tc>
        <w:tc>
          <w:tcPr>
            <w:tcW w:w="2835"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cs="宋体" w:asciiTheme="minorEastAsia" w:hAnsiTheme="minorEastAsia"/>
                <w:b/>
                <w:kern w:val="0"/>
                <w:sz w:val="24"/>
                <w:szCs w:val="24"/>
              </w:rPr>
            </w:pPr>
            <w:r>
              <w:rPr>
                <w:rFonts w:hint="eastAsia" w:cs="宋体" w:asciiTheme="minorEastAsia" w:hAnsiTheme="minorEastAsia"/>
                <w:b/>
                <w:kern w:val="0"/>
                <w:sz w:val="24"/>
                <w:szCs w:val="24"/>
              </w:rPr>
              <w:t>预算总金额（万元）</w:t>
            </w:r>
          </w:p>
        </w:tc>
        <w:tc>
          <w:tcPr>
            <w:tcW w:w="993"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25</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b/>
                <w:bCs/>
                <w:kern w:val="0"/>
                <w:sz w:val="24"/>
                <w:szCs w:val="24"/>
              </w:rPr>
            </w:pPr>
            <w:r>
              <w:rPr>
                <w:rFonts w:hint="eastAsia" w:cs="宋体" w:asciiTheme="minorEastAsia" w:hAnsiTheme="minorEastAsia"/>
                <w:b/>
                <w:bCs/>
                <w:kern w:val="0"/>
                <w:sz w:val="24"/>
                <w:szCs w:val="24"/>
              </w:rPr>
              <w:t>序号</w:t>
            </w:r>
          </w:p>
        </w:tc>
        <w:tc>
          <w:tcPr>
            <w:tcW w:w="318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kern w:val="0"/>
                <w:sz w:val="24"/>
                <w:szCs w:val="24"/>
              </w:rPr>
            </w:pPr>
            <w:r>
              <w:rPr>
                <w:rFonts w:hint="eastAsia" w:cs="宋体" w:asciiTheme="minorEastAsia" w:hAnsiTheme="minorEastAsia"/>
                <w:b/>
                <w:bCs/>
                <w:kern w:val="0"/>
                <w:sz w:val="24"/>
                <w:szCs w:val="24"/>
              </w:rPr>
              <w:t>技术和性能参数名称</w:t>
            </w:r>
          </w:p>
        </w:tc>
        <w:tc>
          <w:tcPr>
            <w:tcW w:w="496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kern w:val="0"/>
                <w:sz w:val="24"/>
                <w:szCs w:val="24"/>
              </w:rPr>
            </w:pPr>
            <w:r>
              <w:rPr>
                <w:rFonts w:hint="eastAsia" w:cs="宋体" w:asciiTheme="minorEastAsia" w:hAnsiTheme="minorEastAsia"/>
                <w:b/>
                <w:bCs/>
                <w:kern w:val="0"/>
                <w:sz w:val="24"/>
                <w:szCs w:val="24"/>
              </w:rPr>
              <w:t>招标参数和性能要求</w:t>
            </w:r>
          </w:p>
        </w:tc>
        <w:tc>
          <w:tcPr>
            <w:tcW w:w="9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b/>
                <w:bCs/>
                <w:kern w:val="0"/>
                <w:sz w:val="24"/>
                <w:szCs w:val="24"/>
              </w:rPr>
            </w:pPr>
            <w:r>
              <w:rPr>
                <w:rFonts w:hint="eastAsia" w:cs="宋体" w:asciiTheme="minorEastAsia" w:hAnsiTheme="minorEastAsia"/>
                <w:b/>
                <w:bCs/>
                <w:kern w:val="0"/>
                <w:sz w:val="24"/>
                <w:szCs w:val="24"/>
              </w:rPr>
              <w:t>备注</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*1</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基本要求</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用于呼吸功能障碍患者的辅助通气功能，适用于成人、儿童</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*2</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资质认证</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具备CFDA认证和FDA或CE认证</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技术和性能参数</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　</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通气模式</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　</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*3.1.1</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通气模式1</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容量控制通气模式</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*3.1.2</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通气模式2</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压力控制通气模式</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*3.1.3</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通气模式3</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同步间歇指令通气模式</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*3.1.4</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通气模式4</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持续气道正压模式</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*3.1.5</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通气模式5</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双水平气道正压通气模式</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*3.1.6</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通气模式6</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无创通气模式</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3.2</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潮气量</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(20－3000)ml，最大误差≤15%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3.3</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呼吸频率</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（4－80）次/分，最大误差≤10%或≤±1次/分（取绝对值大者）</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3.4</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xml:space="preserve">氧浓度:     </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（21－100)%，最大误差≤5%</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*3.5</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最大吸气流速</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≥180L/min</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·3.6</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高流量氧疗功能</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(10-50)L/min</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3.7</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升级及传输功能</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软硬件升级及数据传输能力，病人趋势数据可以通过接口直接输出</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3.8</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补偿功能</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自动泄漏补偿功能</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3.9</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评定功能</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 xml:space="preserve">脱机评定功能 </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3.10</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自检功能</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开机自检、全面自检，压力传感器、流量传感器可自动标定</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3.11</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监测功能</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　</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3.11.1</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肺力学监测</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实时动态监测气道阻力和肺顺应性</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3.11.2</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实时波形监测功能</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压力－时间波形和流速－时间波形容量时间波形，趋势图</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3.11.3</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呼吸环</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可显示压力-容量环或流量-容量环</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*3.12</w:t>
            </w:r>
          </w:p>
        </w:tc>
        <w:tc>
          <w:tcPr>
            <w:tcW w:w="318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流量传感器</w:t>
            </w:r>
          </w:p>
        </w:tc>
        <w:tc>
          <w:tcPr>
            <w:tcW w:w="4961" w:type="dxa"/>
            <w:gridSpan w:val="3"/>
            <w:tcBorders>
              <w:top w:val="single" w:color="auto" w:sz="4" w:space="0"/>
              <w:left w:val="nil"/>
              <w:bottom w:val="single" w:color="auto" w:sz="4" w:space="0"/>
              <w:right w:val="nil"/>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超声流量传感器或热丝流量传感器，非压差式传感器</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·3.13</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显示屏</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≥14英寸彩色显示器</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*3.14</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电池工作时间</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≥30分钟，可用电池开机工作，关机情况下可对电池充电</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·3.15</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监测功能</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可升级CO</w:t>
            </w:r>
            <w:r>
              <w:rPr>
                <w:rFonts w:hint="eastAsia" w:cs="宋体" w:asciiTheme="minorEastAsia" w:hAnsiTheme="minorEastAsia"/>
                <w:kern w:val="0"/>
                <w:sz w:val="24"/>
                <w:szCs w:val="24"/>
                <w:vertAlign w:val="subscript"/>
              </w:rPr>
              <w:t>2</w:t>
            </w:r>
            <w:r>
              <w:rPr>
                <w:rFonts w:hint="eastAsia" w:cs="宋体" w:asciiTheme="minorEastAsia" w:hAnsiTheme="minorEastAsia"/>
                <w:kern w:val="0"/>
                <w:sz w:val="24"/>
                <w:szCs w:val="24"/>
              </w:rPr>
              <w:t>监测功能</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*3.16</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吸气伺服</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吸气伺服机构不接受涡轮机</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*3.17</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长效氧电池</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顺磁氧传感器或超声氧传感器</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*4</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配置要求</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每台套</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4.1</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主机</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≥1台</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4.2</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呼吸管路</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≥2套（成人、儿童各一套）</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4.3</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湿化器</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≥1套</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4.4</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专用台车</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≥1台</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4.5</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支架</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≥1个</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4.6</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模拟肺</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≥1套</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5</w:t>
            </w:r>
          </w:p>
        </w:tc>
        <w:tc>
          <w:tcPr>
            <w:tcW w:w="318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设备不良事件情况</w:t>
            </w:r>
          </w:p>
        </w:tc>
        <w:tc>
          <w:tcPr>
            <w:tcW w:w="496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厂家提供设备近三年不良事件情况</w:t>
            </w:r>
          </w:p>
        </w:tc>
        <w:tc>
          <w:tcPr>
            <w:tcW w:w="9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6</w:t>
            </w:r>
          </w:p>
        </w:tc>
        <w:tc>
          <w:tcPr>
            <w:tcW w:w="3186"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物联网支持功能</w:t>
            </w:r>
          </w:p>
        </w:tc>
        <w:tc>
          <w:tcPr>
            <w:tcW w:w="4961"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　</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6.1</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联网要求</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设备具备物联网功能,能够通过有线或者无线的方式联网。数据内容包括设备运行状态和关键系统参数等。对于监护仪、呼吸机等生命支持类设备，应包括波形、体征、报警等信息；对于检验类等实验室设备，应包括系统关键参数和日志数据等信息；对于大型影像设备、超声设备等，应包括日志数据、扫描数据、设备运行状态等信息。</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6.2</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技术文件</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设备厂商向院方提供详细的有关接口形式和数据传输协议的说明文档，交由物联网项目组验收,并配合院方解决设备联网相关问题。</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*7</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售后条款</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　</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7.1</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保修年限</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≥3年，保修期内开机率不低于95%（按365日/年计算，含节假日)，未达到要求的开机率天数，按双倍天数顺延保修期</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7.2</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预防性维修</w:t>
            </w:r>
            <w:r>
              <w:rPr>
                <w:rFonts w:hint="eastAsia" w:cs="宋体" w:asciiTheme="minorEastAsia" w:hAnsiTheme="minorEastAsia"/>
                <w:kern w:val="0"/>
                <w:sz w:val="24"/>
                <w:szCs w:val="24"/>
              </w:rPr>
              <w:br w:type="textWrapping"/>
            </w:r>
            <w:r>
              <w:rPr>
                <w:rFonts w:hint="eastAsia" w:cs="宋体" w:asciiTheme="minorEastAsia" w:hAnsiTheme="minorEastAsia"/>
                <w:kern w:val="0"/>
                <w:sz w:val="24"/>
                <w:szCs w:val="24"/>
              </w:rPr>
              <w:t>/定期维护保养</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保修期内按维修手册要求提供定期维护保养服务</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7.3</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维修响应时间</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维修到达现场时间≤0.5个工作日（京内）</w:t>
            </w:r>
            <w:r>
              <w:rPr>
                <w:rFonts w:hint="eastAsia" w:cs="宋体" w:asciiTheme="minorEastAsia" w:hAnsiTheme="minorEastAsia"/>
                <w:kern w:val="0"/>
                <w:sz w:val="24"/>
                <w:szCs w:val="24"/>
              </w:rPr>
              <w:br w:type="textWrapping"/>
            </w:r>
            <w:r>
              <w:rPr>
                <w:rFonts w:hint="eastAsia" w:cs="宋体" w:asciiTheme="minorEastAsia" w:hAnsiTheme="minorEastAsia"/>
                <w:kern w:val="0"/>
                <w:sz w:val="24"/>
                <w:szCs w:val="24"/>
              </w:rPr>
              <w:t>维修到达现场时间≤3个工作日（京外）</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7.4</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配件报价</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提供消耗性配件（年平均更换大于1次的配件）和高值配件（价格大于设备成交价5%以上）的报价清单，且高值配件报价之和不得高于设备成交价的110%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7.5</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升级与软件维护</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保修期内免费升级和软件维护；保修期外，原软件维护仅收工时费</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7.6</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维修工时费计算方法及价格</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至少提供按小时计费和按故障点计费两种方式，用户可自行选择</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7.7</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专用工具、资料及其它</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提供设备配套的维修专用工具</w:t>
            </w:r>
            <w:r>
              <w:rPr>
                <w:rFonts w:hint="eastAsia" w:cs="宋体" w:asciiTheme="minorEastAsia" w:hAnsiTheme="minorEastAsia"/>
                <w:color w:val="000000"/>
                <w:kern w:val="0"/>
                <w:sz w:val="24"/>
                <w:szCs w:val="24"/>
              </w:rPr>
              <w:t>（如有）</w:t>
            </w:r>
            <w:r>
              <w:rPr>
                <w:rFonts w:hint="eastAsia" w:cs="宋体" w:asciiTheme="minorEastAsia" w:hAnsiTheme="minorEastAsia"/>
                <w:kern w:val="0"/>
                <w:sz w:val="24"/>
                <w:szCs w:val="24"/>
              </w:rPr>
              <w:t>，资料（操作手册、维修手册等）</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7.8</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培训</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提供使用培训和工程师培训（厂家自报方式）</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7.9</w:t>
            </w:r>
          </w:p>
        </w:tc>
        <w:tc>
          <w:tcPr>
            <w:tcW w:w="31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交货期</w:t>
            </w:r>
          </w:p>
        </w:tc>
        <w:tc>
          <w:tcPr>
            <w:tcW w:w="49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合同签订后</w:t>
            </w:r>
            <w:r>
              <w:rPr>
                <w:rFonts w:hint="eastAsia" w:cs="宋体" w:asciiTheme="minorEastAsia" w:hAnsiTheme="minorEastAsia"/>
                <w:kern w:val="0"/>
                <w:sz w:val="24"/>
                <w:szCs w:val="24"/>
                <w:lang w:val="en-US" w:eastAsia="zh-CN"/>
              </w:rPr>
              <w:t>2</w:t>
            </w:r>
            <w:bookmarkStart w:id="1" w:name="_GoBack"/>
            <w:bookmarkEnd w:id="1"/>
            <w:r>
              <w:rPr>
                <w:rFonts w:hint="eastAsia" w:cs="宋体" w:asciiTheme="minorEastAsia" w:hAnsiTheme="minorEastAsia"/>
                <w:kern w:val="0"/>
                <w:sz w:val="24"/>
                <w:szCs w:val="24"/>
              </w:rPr>
              <w:t>个月内交货</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 w:val="24"/>
                <w:szCs w:val="24"/>
              </w:rPr>
            </w:pPr>
            <w:r>
              <w:rPr>
                <w:rFonts w:hint="eastAsia" w:cs="宋体" w:asciiTheme="minorEastAsia" w:hAnsiTheme="minorEastAsia"/>
                <w:kern w:val="0"/>
                <w:sz w:val="24"/>
                <w:szCs w:val="24"/>
              </w:rPr>
              <w:t>　</w:t>
            </w:r>
          </w:p>
        </w:tc>
      </w:tr>
      <w:tr>
        <w:tblPrEx>
          <w:tblLayout w:type="fixed"/>
          <w:tblCellMar>
            <w:top w:w="0" w:type="dxa"/>
            <w:left w:w="108" w:type="dxa"/>
            <w:bottom w:w="0" w:type="dxa"/>
            <w:right w:w="108" w:type="dxa"/>
          </w:tblCellMar>
        </w:tblPrEx>
        <w:trPr>
          <w:jc w:val="center"/>
        </w:trPr>
        <w:tc>
          <w:tcPr>
            <w:tcW w:w="1041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 w:val="24"/>
                <w:szCs w:val="24"/>
              </w:rPr>
            </w:pPr>
            <w:r>
              <w:rPr>
                <w:rFonts w:hint="eastAsia" w:cs="宋体" w:asciiTheme="minorEastAsia" w:hAnsiTheme="minorEastAsia"/>
                <w:kern w:val="0"/>
                <w:sz w:val="24"/>
                <w:szCs w:val="24"/>
              </w:rPr>
              <w:t>备注：</w:t>
            </w:r>
            <w:r>
              <w:rPr>
                <w:rFonts w:cs="Times New Roman" w:asciiTheme="minorEastAsia" w:hAnsiTheme="minorEastAsia"/>
                <w:kern w:val="0"/>
                <w:sz w:val="24"/>
                <w:szCs w:val="24"/>
              </w:rPr>
              <w:t>1.</w:t>
            </w:r>
            <w:r>
              <w:rPr>
                <w:rFonts w:hint="eastAsia" w:cs="宋体" w:asciiTheme="minorEastAsia" w:hAnsiTheme="minorEastAsia"/>
                <w:kern w:val="0"/>
                <w:sz w:val="24"/>
                <w:szCs w:val="24"/>
              </w:rPr>
              <w:t>加注“*”号的技术指标为关键指标，≥1项未达到招标文件要求，即做废标处理。</w:t>
            </w:r>
            <w:r>
              <w:rPr>
                <w:rFonts w:hint="eastAsia" w:cs="宋体" w:asciiTheme="minorEastAsia" w:hAnsiTheme="minorEastAsia"/>
                <w:kern w:val="0"/>
                <w:sz w:val="24"/>
                <w:szCs w:val="24"/>
              </w:rPr>
              <w:br w:type="textWrapping"/>
            </w:r>
            <w:r>
              <w:rPr>
                <w:rFonts w:hint="eastAsia" w:cs="宋体" w:asciiTheme="minorEastAsia" w:hAnsiTheme="minorEastAsia"/>
                <w:color w:val="000000"/>
                <w:kern w:val="0"/>
                <w:sz w:val="24"/>
                <w:szCs w:val="24"/>
              </w:rPr>
              <w:t xml:space="preserve">      2.加注“·”号的技术指标为重要指标。</w:t>
            </w:r>
            <w:r>
              <w:rPr>
                <w:rFonts w:hint="eastAsia" w:cs="宋体" w:asciiTheme="minorEastAsia" w:hAnsiTheme="minorEastAsia"/>
                <w:color w:val="000000"/>
                <w:kern w:val="0"/>
                <w:sz w:val="24"/>
                <w:szCs w:val="24"/>
              </w:rPr>
              <w:br w:type="textWrapping"/>
            </w:r>
            <w:r>
              <w:rPr>
                <w:rFonts w:hint="eastAsia" w:cs="宋体" w:asciiTheme="minorEastAsia" w:hAnsiTheme="minorEastAsia"/>
                <w:color w:val="000000"/>
                <w:kern w:val="0"/>
                <w:sz w:val="24"/>
                <w:szCs w:val="24"/>
              </w:rPr>
              <w:t xml:space="preserve">      3.加注“*”、“·”号的技术指标均需投标企业提供证明材料。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C31B6"/>
    <w:rsid w:val="002C31B6"/>
    <w:rsid w:val="003E1A29"/>
    <w:rsid w:val="009A0490"/>
    <w:rsid w:val="009C561F"/>
    <w:rsid w:val="00CD7357"/>
    <w:rsid w:val="07CE4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PLA</Company>
  <Pages>2</Pages>
  <Words>281</Words>
  <Characters>1608</Characters>
  <Lines>13</Lines>
  <Paragraphs>3</Paragraphs>
  <TotalTime>7</TotalTime>
  <ScaleCrop>false</ScaleCrop>
  <LinksUpToDate>false</LinksUpToDate>
  <CharactersWithSpaces>1886</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2022-06-27T07:08:00Z</dcterms:created>
  <dc:creator>chenkun</dc:creator>
  <cp:lastModifiedBy>DOCTOR</cp:lastModifiedBy>
  <dcterms:modified xsi:type="dcterms:W3CDTF">2022-08-26T02:35:13Z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