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7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1593"/>
        <w:gridCol w:w="2088"/>
        <w:gridCol w:w="1065"/>
        <w:gridCol w:w="2250"/>
        <w:gridCol w:w="1699"/>
        <w:gridCol w:w="12"/>
      </w:tblGrid>
      <w:tr>
        <w:tblPrEx>
          <w:tblLayout w:type="fixed"/>
        </w:tblPrEx>
        <w:trPr>
          <w:gridAfter w:val="1"/>
          <w:wAfter w:w="12" w:type="dxa"/>
          <w:trHeight w:val="540" w:hRule="atLeast"/>
          <w:jc w:val="center"/>
        </w:trPr>
        <w:tc>
          <w:tcPr>
            <w:tcW w:w="935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sz w:val="40"/>
                <w:szCs w:val="40"/>
              </w:rPr>
              <w:t>医疗设备技术需求确认表</w:t>
            </w:r>
          </w:p>
        </w:tc>
      </w:tr>
      <w:tr>
        <w:tblPrEx>
          <w:tblLayout w:type="fixed"/>
        </w:tblPrEx>
        <w:trPr>
          <w:trHeight w:val="63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设备名称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Style w:val="10"/>
                <w:rFonts w:hint="default"/>
              </w:rPr>
              <w:t>床旁血滤机</w:t>
            </w:r>
            <w:r>
              <w:rPr>
                <w:rStyle w:val="11"/>
                <w:rFonts w:hint="default"/>
              </w:rPr>
              <w:t>（多功能床旁血液净化设备、床旁血滤机）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总数量（台/套）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预算总金额（万元）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80万元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color w:val="000000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color w:val="000000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</w:rPr>
              <w:t>技术和性能参数名称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color w:val="000000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</w:rPr>
              <w:t>招标参数和性能要求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color w:val="000000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基本要求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用于危重症患者急性、慢性肾功能不全等疾病的替代治疗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资质认证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具备CFDA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和CE认证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技术和性能参数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屏幕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≥10英寸显示屏、中文操作界面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治疗模式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至少具备治疗模式：缓慢连续性超滤（SCUF）、连续性静脉静脉血液透析滤过（CVVHDF）、连续性静脉静脉血液滤过（CVVH）、连续性静脉静脉血液透析（CVVHD）、血液灌流（HP）、血浆置换（TPE）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稀释模式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可进行单独前或后稀释，或前后稀释同时进行，可随时改变比例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12"/>
                <w:rFonts w:hint="default"/>
              </w:rPr>
              <w:t>3.4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检测功能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具备，包括超声气泡检测，可以自动去除治疗过程中置换液内的气泡，避免凝血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泵数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≥5个（4个蠕动泵+1个肝素泵）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加热方式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设备一体式加温设计，通过置换液加温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（非血液）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·3.7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置换液加温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调节步长≤0.5℃，报警范围可调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安装管路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CRRT模式均采用一套管路完成，管路滤器可拆分，可扩展更多治疗模式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压力检测功能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可检测动脉压力、静脉压力、滤器前压力、滤出液压力、跨膜压、滤器下降压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再循环功能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具备，可保证在病人长时间脱机或转移后使用同一套管路恢复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12"/>
                <w:rFonts w:hint="default"/>
              </w:rPr>
              <w:t>3.11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血流速度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≥300ml/min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置换液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(0-10000)ml/h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透析液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(0-10000)ml/h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*3.14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秤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≥2秤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动脉压检测范围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(-250mmHg至+350mmHg)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静脉压检测范围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(-45mmHg至+300mmHg)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滤器前压力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(-45mmHg至+400mmHg)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滤过液压力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(-300mmHg至+350mmHg)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肝素泵抗凝模式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具备，连续模式：（0.5～15）ml/h 可调， 精度±0.2ml/h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枸橼酸模式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应用CVVH、CVVHDF、SCUF、CVVHD、TPE模式时，可以实现枸橼酸模式或可外接动力系统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内置电池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具备，持续时间≥2分钟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肾剂量计算器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具备肾剂量计算功能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可以调阅及下载病人治疗数据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报警及安全指标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具备设备监测指标异常、设备故障、必要提示，声光报警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3.25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设备不良事件情况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近三年无不良事件情况</w:t>
            </w:r>
          </w:p>
        </w:tc>
        <w:tc>
          <w:tcPr>
            <w:tcW w:w="17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配置需求（单台套）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一体化主机 1台，防尘罩1个</w:t>
            </w:r>
          </w:p>
        </w:tc>
        <w:tc>
          <w:tcPr>
            <w:tcW w:w="17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配套医用试剂耗材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是否为开放性医用试剂耗材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厂家自报</w:t>
            </w:r>
          </w:p>
        </w:tc>
        <w:tc>
          <w:tcPr>
            <w:tcW w:w="17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封闭配套施加耗材品规/价格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厂家自报品规/价格</w:t>
            </w:r>
          </w:p>
        </w:tc>
        <w:tc>
          <w:tcPr>
            <w:tcW w:w="17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*6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售后条款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原厂保修年限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预防性维修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/定期维护保养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保修期内按维修手册要求提供定期维护保养服务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维修响应时间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维修到达现场时间≤0.5个工作日（京内）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维修到达现场时间≤3个工作日（京外）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配件报价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配件指设备正常使用时的必备零配件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升级与软件维护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保修期内免费升级和软件维护；保修期外，原软件维护仅收工时费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维修工时费计算方法及价格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至少提供按小时计费和按故障点计费两种方式，用户可自行选择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专用工具、资料及其它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12"/>
                <w:rFonts w:hint="default"/>
              </w:rPr>
              <w:t>提供设备配套的维修专用工具</w:t>
            </w:r>
            <w:r>
              <w:rPr>
                <w:rStyle w:val="13"/>
                <w:rFonts w:hint="default"/>
              </w:rPr>
              <w:t>（如有）</w:t>
            </w:r>
            <w:r>
              <w:rPr>
                <w:rStyle w:val="12"/>
                <w:rFonts w:hint="default"/>
              </w:rPr>
              <w:t>，资料（操作手册、维修手册等）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培训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提供使用培训和工程师原厂培训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交货期</w:t>
            </w:r>
          </w:p>
        </w:tc>
        <w:tc>
          <w:tcPr>
            <w:tcW w:w="5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合同签订后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个月内交货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3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1.</w:t>
            </w: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t>加注“*”号的技术指标为关键指标，≥1项未达到招标文件要求，即做废标处理。</w:t>
            </w: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t xml:space="preserve">      2.加注“·”号的技术指标为重要指标。</w:t>
            </w: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default" w:ascii="宋体" w:hAnsi="宋体" w:cs="宋体"/>
                <w:color w:val="000000"/>
                <w:sz w:val="22"/>
                <w:szCs w:val="22"/>
              </w:rPr>
              <w:t xml:space="preserve">      3.加注“*”、“·”号的技术指标均需投标企业提供证明材料。</w:t>
            </w:r>
          </w:p>
        </w:tc>
      </w:tr>
    </w:tbl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  <w:bookmarkStart w:id="0" w:name="_GoBack"/>
      <w:bookmarkEnd w:id="0"/>
    </w:p>
    <w:tbl>
      <w:tblPr>
        <w:tblStyle w:val="5"/>
        <w:tblW w:w="10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253"/>
        <w:gridCol w:w="1559"/>
        <w:gridCol w:w="2410"/>
        <w:gridCol w:w="11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62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sz w:val="36"/>
                <w:szCs w:val="36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设备名称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床旁血滤机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数量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2台/套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一次性耗材名称/检测（治疗）项目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简称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预估3年使用量</w:t>
            </w:r>
            <w:r>
              <w:rPr>
                <w:rFonts w:hint="eastAsia" w:ascii="宋体" w:hAnsi="宋体" w:cs="宋体"/>
                <w:b/>
                <w:bCs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</w:rPr>
              <w:t>（人份/台）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若填写开展的项目和用量，示例如下：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血液净化治疗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1*1*200*3=600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10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若填写具体使用的耗材种类和用量</w:t>
            </w:r>
            <w:r>
              <w:rPr>
                <w:rFonts w:hint="eastAsia" w:ascii="宋体" w:hAnsi="宋体" w:cs="宋体"/>
                <w:lang w:eastAsia="zh-CN"/>
              </w:rPr>
              <w:t>，示例如下：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血液滤过管路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1*1*200*3=600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血液滤过滤器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1*1*200*3=600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10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说明：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3、“可选择开展或使用项目”为该设备可选配功能或项目（投标商可部分响应），没有可填“无”。</w:t>
            </w:r>
          </w:p>
        </w:tc>
      </w:tr>
    </w:tbl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tbl>
      <w:tblPr>
        <w:tblStyle w:val="5"/>
        <w:tblW w:w="10630" w:type="dxa"/>
        <w:jc w:val="center"/>
        <w:tblInd w:w="25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112"/>
        <w:gridCol w:w="1701"/>
        <w:gridCol w:w="2120"/>
        <w:gridCol w:w="14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63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sz w:val="36"/>
                <w:szCs w:val="36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设备名称</w:t>
            </w:r>
          </w:p>
        </w:tc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床旁血滤机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数量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</w:rPr>
              <w:t>台/套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序号</w:t>
            </w:r>
          </w:p>
        </w:tc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一次性耗材名称/检测（治疗）项目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简称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预估3年使用量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（人份/台）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血液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过滤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管路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及附件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CRRT管路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30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管路（封闭）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6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说明：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cs="宋体"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</w:rPr>
              <w:t>3、“可选择开展或使用项目”为该设备可选配功能或项目（投标商可部分响应），没有可填“无”。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3184"/>
    <w:rsid w:val="000A3184"/>
    <w:rsid w:val="00D00180"/>
    <w:rsid w:val="24D539EC"/>
    <w:rsid w:val="4F475878"/>
    <w:rsid w:val="674C4537"/>
    <w:rsid w:val="7677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kern w:val="0"/>
      <w:sz w:val="24"/>
      <w:szCs w:val="22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font1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1">
    <w:name w:val="font8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12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122"/>
    <w:basedOn w:val="6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PLA</Company>
  <Pages>4</Pages>
  <Words>348</Words>
  <Characters>1990</Characters>
  <Lines>16</Lines>
  <Paragraphs>4</Paragraphs>
  <TotalTime>0</TotalTime>
  <ScaleCrop>false</ScaleCrop>
  <LinksUpToDate>false</LinksUpToDate>
  <CharactersWithSpaces>2334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2022-08-12T09:36:00Z</dcterms:created>
  <dc:creator>chenkun</dc:creator>
  <cp:lastModifiedBy>doctor</cp:lastModifiedBy>
  <dcterms:modified xsi:type="dcterms:W3CDTF">2022-11-15T12:04:30Z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