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400" w:type="dxa"/>
        <w:tblInd w:w="0" w:type="dxa"/>
        <w:tblLayout w:type="fixed"/>
        <w:tblCellMar>
          <w:top w:w="0" w:type="dxa"/>
          <w:left w:w="108" w:type="dxa"/>
          <w:bottom w:w="0" w:type="dxa"/>
          <w:right w:w="108" w:type="dxa"/>
        </w:tblCellMar>
      </w:tblPr>
      <w:tblGrid>
        <w:gridCol w:w="700"/>
        <w:gridCol w:w="1220"/>
        <w:gridCol w:w="6505"/>
        <w:gridCol w:w="975"/>
      </w:tblGrid>
      <w:tr>
        <w:tblPrEx>
          <w:tblLayout w:type="fixed"/>
          <w:tblCellMar>
            <w:top w:w="0" w:type="dxa"/>
            <w:left w:w="108" w:type="dxa"/>
            <w:bottom w:w="0" w:type="dxa"/>
            <w:right w:w="108" w:type="dxa"/>
          </w:tblCellMar>
        </w:tblPrEx>
        <w:trPr>
          <w:trHeight w:val="807"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序号</w:t>
            </w:r>
          </w:p>
        </w:tc>
        <w:tc>
          <w:tcPr>
            <w:tcW w:w="1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黑体" w:hAnsi="黑体" w:eastAsia="黑体" w:cs="宋体"/>
                <w:kern w:val="0"/>
                <w:sz w:val="24"/>
              </w:rPr>
            </w:pPr>
            <w:r>
              <w:rPr>
                <w:rFonts w:hint="eastAsia" w:ascii="黑体" w:hAnsi="宋体" w:eastAsia="黑体" w:cs="黑体"/>
                <w:i w:val="0"/>
                <w:color w:val="000000"/>
                <w:kern w:val="0"/>
                <w:sz w:val="20"/>
                <w:szCs w:val="20"/>
                <w:u w:val="none"/>
                <w:lang w:val="en-US" w:eastAsia="zh-CN" w:bidi="ar"/>
              </w:rPr>
              <w:t>技术和性能参数名称</w:t>
            </w:r>
          </w:p>
        </w:tc>
        <w:tc>
          <w:tcPr>
            <w:tcW w:w="65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黑体" w:hAnsi="黑体" w:eastAsia="黑体" w:cs="宋体"/>
                <w:kern w:val="0"/>
                <w:sz w:val="24"/>
              </w:rPr>
            </w:pPr>
            <w:r>
              <w:rPr>
                <w:rFonts w:hint="eastAsia" w:ascii="黑体" w:hAnsi="宋体" w:eastAsia="黑体" w:cs="黑体"/>
                <w:i w:val="0"/>
                <w:color w:val="000000"/>
                <w:kern w:val="0"/>
                <w:sz w:val="20"/>
                <w:szCs w:val="20"/>
                <w:u w:val="none"/>
                <w:lang w:val="en-US" w:eastAsia="zh-CN" w:bidi="ar"/>
              </w:rPr>
              <w:t>招标参数和性能要求</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备注</w:t>
            </w:r>
          </w:p>
        </w:tc>
      </w:tr>
      <w:tr>
        <w:tblPrEx>
          <w:tblLayout w:type="fixed"/>
          <w:tblCellMar>
            <w:top w:w="0" w:type="dxa"/>
            <w:left w:w="108" w:type="dxa"/>
            <w:bottom w:w="0" w:type="dxa"/>
            <w:right w:w="108" w:type="dxa"/>
          </w:tblCellMar>
        </w:tblPrEx>
        <w:trPr>
          <w:trHeight w:val="1145"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基本要求</w:t>
            </w:r>
          </w:p>
        </w:tc>
        <w:tc>
          <w:tcPr>
            <w:tcW w:w="6505"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1.</w:t>
            </w:r>
            <w:r>
              <w:rPr>
                <w:rFonts w:hint="eastAsia" w:ascii="宋体" w:hAnsi="宋体" w:cs="宋体"/>
                <w:kern w:val="0"/>
                <w:sz w:val="21"/>
                <w:szCs w:val="21"/>
              </w:rPr>
              <w:t>光纤存储交换机  2台</w:t>
            </w:r>
          </w:p>
          <w:p>
            <w:pPr>
              <w:widowControl/>
              <w:numPr>
                <w:ilvl w:val="0"/>
                <w:numId w:val="0"/>
              </w:numPr>
              <w:jc w:val="left"/>
              <w:rPr>
                <w:rFonts w:hint="eastAsia" w:ascii="宋体" w:hAnsi="宋体" w:cs="宋体"/>
                <w:kern w:val="0"/>
                <w:sz w:val="21"/>
                <w:szCs w:val="21"/>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2.</w:t>
            </w:r>
            <w:r>
              <w:rPr>
                <w:rFonts w:hint="eastAsia" w:ascii="宋体" w:hAnsi="宋体" w:cs="宋体"/>
                <w:kern w:val="0"/>
                <w:sz w:val="21"/>
                <w:szCs w:val="21"/>
              </w:rPr>
              <w:t>PCI扩展卡槽≥3块,HBA卡≥10块</w:t>
            </w:r>
          </w:p>
          <w:p>
            <w:pPr>
              <w:widowControl/>
              <w:numPr>
                <w:ilvl w:val="0"/>
                <w:numId w:val="0"/>
              </w:numPr>
              <w:jc w:val="left"/>
              <w:rPr>
                <w:rFonts w:hint="eastAsia" w:ascii="宋体" w:hAnsi="宋体" w:cs="宋体"/>
                <w:kern w:val="0"/>
                <w:sz w:val="21"/>
                <w:szCs w:val="21"/>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3.</w:t>
            </w:r>
            <w:r>
              <w:rPr>
                <w:rFonts w:hint="eastAsia" w:ascii="宋体" w:hAnsi="宋体" w:cs="宋体"/>
                <w:kern w:val="0"/>
                <w:sz w:val="21"/>
                <w:szCs w:val="21"/>
              </w:rPr>
              <w:t>存储硬盘容量≥1.8Tb，存储硬盘数量≥18块</w:t>
            </w:r>
          </w:p>
          <w:p>
            <w:pPr>
              <w:widowControl/>
              <w:numPr>
                <w:ilvl w:val="0"/>
                <w:numId w:val="0"/>
              </w:numPr>
              <w:jc w:val="left"/>
              <w:rPr>
                <w:rFonts w:hint="eastAsia" w:ascii="宋体" w:hAnsi="宋体" w:cs="宋体"/>
                <w:kern w:val="0"/>
                <w:sz w:val="24"/>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4.</w:t>
            </w:r>
            <w:r>
              <w:rPr>
                <w:rFonts w:hint="eastAsia" w:ascii="宋体" w:hAnsi="宋体" w:cs="宋体"/>
                <w:kern w:val="0"/>
                <w:sz w:val="21"/>
                <w:szCs w:val="21"/>
              </w:rPr>
              <w:t>虚拟化管理平台软件授权  4套</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r>
      <w:tr>
        <w:tblPrEx>
          <w:tblLayout w:type="fixed"/>
          <w:tblCellMar>
            <w:top w:w="0" w:type="dxa"/>
            <w:left w:w="108" w:type="dxa"/>
            <w:bottom w:w="0" w:type="dxa"/>
            <w:right w:w="108" w:type="dxa"/>
          </w:tblCellMar>
        </w:tblPrEx>
        <w:trPr>
          <w:trHeight w:val="827" w:hRule="atLeast"/>
        </w:trPr>
        <w:tc>
          <w:tcPr>
            <w:tcW w:w="700"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w:t>
            </w:r>
          </w:p>
        </w:tc>
        <w:tc>
          <w:tcPr>
            <w:tcW w:w="1220"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配置要求</w:t>
            </w:r>
          </w:p>
        </w:tc>
        <w:tc>
          <w:tcPr>
            <w:tcW w:w="6505"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eastAsia="宋体" w:cs="宋体"/>
                <w:color w:val="000000"/>
                <w:kern w:val="0"/>
                <w:sz w:val="24"/>
                <w:lang w:eastAsia="zh-CN"/>
              </w:rPr>
            </w:pPr>
            <w:r>
              <w:rPr>
                <w:rFonts w:hint="eastAsia" w:ascii="宋体" w:hAnsi="宋体" w:cs="宋体"/>
                <w:kern w:val="0"/>
                <w:sz w:val="21"/>
                <w:szCs w:val="21"/>
              </w:rPr>
              <w:t>*2.1光纤交换机技术标准：支持≥24个FC端口；端口速率：支持FC32Gb/s，16Gb/s速率；实际配置：配置并激活≥16个FC端口，配置16Gb光模块≥16个</w:t>
            </w:r>
            <w:r>
              <w:rPr>
                <w:rFonts w:hint="eastAsia" w:ascii="宋体" w:hAnsi="宋体" w:cs="宋体"/>
                <w:kern w:val="0"/>
                <w:sz w:val="21"/>
                <w:szCs w:val="21"/>
                <w:lang w:eastAsia="zh-CN"/>
              </w:rPr>
              <w:t>；</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598" w:hRule="atLeast"/>
        </w:trPr>
        <w:tc>
          <w:tcPr>
            <w:tcW w:w="700"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p>
        </w:tc>
        <w:tc>
          <w:tcPr>
            <w:tcW w:w="1220" w:type="dxa"/>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1"/>
                <w:szCs w:val="21"/>
              </w:rPr>
            </w:pPr>
          </w:p>
        </w:tc>
        <w:tc>
          <w:tcPr>
            <w:tcW w:w="6505"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rPr>
            </w:pPr>
            <w:r>
              <w:rPr>
                <w:rFonts w:hint="eastAsia" w:ascii="宋体" w:hAnsi="宋体" w:cs="宋体"/>
                <w:kern w:val="0"/>
                <w:sz w:val="21"/>
                <w:szCs w:val="21"/>
              </w:rPr>
              <w:t>*2.2PCI扩展卡槽支持兼容国产服务器H3C4900G3硬件要求； HBA卡≥2端口16Gb光纤通道(带两个千兆模块)；</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595" w:hRule="atLeast"/>
        </w:trPr>
        <w:tc>
          <w:tcPr>
            <w:tcW w:w="700"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p>
        </w:tc>
        <w:tc>
          <w:tcPr>
            <w:tcW w:w="1220" w:type="dxa"/>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1"/>
                <w:szCs w:val="21"/>
              </w:rPr>
            </w:pPr>
          </w:p>
        </w:tc>
        <w:tc>
          <w:tcPr>
            <w:tcW w:w="6505"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rPr>
            </w:pPr>
            <w:r>
              <w:rPr>
                <w:rFonts w:hint="eastAsia" w:ascii="宋体" w:hAnsi="宋体" w:cs="宋体"/>
                <w:kern w:val="0"/>
                <w:sz w:val="21"/>
                <w:szCs w:val="21"/>
              </w:rPr>
              <w:t>*2.3存储硬盘 2.5英寸10K SAS 硬盘≥18块 容量≥1.8Tb，兼容H3C CF2206存储；</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845" w:hRule="atLeast"/>
        </w:trPr>
        <w:tc>
          <w:tcPr>
            <w:tcW w:w="700"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p>
        </w:tc>
        <w:tc>
          <w:tcPr>
            <w:tcW w:w="1220" w:type="dxa"/>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1"/>
                <w:szCs w:val="21"/>
              </w:rPr>
            </w:pPr>
          </w:p>
        </w:tc>
        <w:tc>
          <w:tcPr>
            <w:tcW w:w="6505"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rPr>
            </w:pPr>
            <w:r>
              <w:rPr>
                <w:rFonts w:hint="eastAsia" w:ascii="宋体" w:hAnsi="宋体" w:cs="宋体"/>
                <w:kern w:val="0"/>
                <w:sz w:val="21"/>
                <w:szCs w:val="21"/>
              </w:rPr>
              <w:t>2.4虚拟化管理平台要求                                     2.4.1虚拟化管理平台允许对虚拟机进行创建、启动、暂停、恢复、休眠、重启、安全关闭、强制关闭、删除等常用生命周期管理操作。无需中断或停机即可将正在运行的虚拟机磁盘文件从一个存储位置迁移到另一个存储位置。支持正在运行的虚拟机从一台服务器迁移到另一台服务器；                                2.4.2使用虚拟机快照，可以在减少备份时段的同时提高应用程序可用性，创建可用于测试、备份和恢复操作的虚拟机数据的时间点副本；                                                2.4.3支持内存快照、磁盘快照和定时快照。系统自启动安全：阻止攻击者损害虚拟化系统基线的完整性，当出现篡改行为时，自动使用基线修复被篡改内核模块，确保虚拟化运行环境的稳定性和安全性；                                              2.4.4支持主流的 B/S 架构与 HTML5 技术，全面呈现被管理对象的状态和层次关系，与虚拟化功能相关的所有操作全部通过 Web 界面实现管理与监控。能够自动检测出物理机故障，并在共享存储环境中的集群内的其他物理机上重新启动虚拟机；2.4.5虚拟化管理系统软件：支持批量修改虚拟机的配置参数，包括：CPU调度优先级、CPU个数、内存优先级、内存大小、I/O优先级、启动优先级、是否自动迁移、tools自动升级等；                                                      2.4.6虚拟化软件拟采用裸金属架构，基于KVM开发，可维护性好，能够随着Linux版本的升级而升级，有超过三年技术积累，要求提供相关案例合同和用户使用报告；</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600"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1"/>
                <w:szCs w:val="21"/>
                <w:lang w:val="en-US" w:eastAsia="zh-CN"/>
              </w:rPr>
            </w:pPr>
            <w:r>
              <w:rPr>
                <w:rFonts w:hint="eastAsia" w:ascii="宋体" w:hAnsi="宋体" w:cs="宋体"/>
                <w:color w:val="000000"/>
                <w:kern w:val="0"/>
                <w:sz w:val="21"/>
                <w:szCs w:val="21"/>
                <w:lang w:val="en-US" w:eastAsia="zh-CN"/>
              </w:rPr>
              <w:t>*</w:t>
            </w:r>
            <w:r>
              <w:rPr>
                <w:rFonts w:hint="eastAsia" w:ascii="宋体" w:hAnsi="宋体" w:cs="宋体"/>
                <w:color w:val="000000"/>
                <w:kern w:val="0"/>
                <w:sz w:val="21"/>
                <w:szCs w:val="21"/>
              </w:rPr>
              <w:t>3</w:t>
            </w:r>
          </w:p>
        </w:tc>
        <w:tc>
          <w:tcPr>
            <w:tcW w:w="1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1"/>
                <w:szCs w:val="21"/>
              </w:rPr>
            </w:pPr>
            <w:r>
              <w:rPr>
                <w:rFonts w:hint="eastAsia" w:ascii="宋体" w:hAnsi="宋体" w:cs="宋体"/>
                <w:kern w:val="0"/>
                <w:sz w:val="21"/>
                <w:szCs w:val="21"/>
              </w:rPr>
              <w:t>产品资格</w:t>
            </w:r>
          </w:p>
        </w:tc>
        <w:tc>
          <w:tcPr>
            <w:tcW w:w="6505" w:type="dxa"/>
            <w:tcBorders>
              <w:top w:val="single" w:color="auto" w:sz="4" w:space="0"/>
              <w:left w:val="single" w:color="auto" w:sz="4" w:space="0"/>
              <w:bottom w:val="single" w:color="auto" w:sz="4" w:space="0"/>
              <w:right w:val="single" w:color="auto" w:sz="4" w:space="0"/>
            </w:tcBorders>
            <w:vAlign w:val="center"/>
          </w:tcPr>
          <w:p>
            <w:pPr>
              <w:widowControl/>
              <w:jc w:val="both"/>
              <w:rPr>
                <w:rFonts w:ascii="宋体" w:hAnsi="宋体" w:cs="宋体"/>
                <w:kern w:val="0"/>
                <w:sz w:val="21"/>
                <w:szCs w:val="21"/>
              </w:rPr>
            </w:pPr>
            <w:r>
              <w:rPr>
                <w:rFonts w:hint="eastAsia" w:ascii="宋体" w:hAnsi="宋体" w:cs="宋体"/>
                <w:kern w:val="0"/>
                <w:sz w:val="21"/>
                <w:szCs w:val="21"/>
              </w:rPr>
              <w:t>国产品牌</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75"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4</w:t>
            </w:r>
          </w:p>
        </w:tc>
        <w:tc>
          <w:tcPr>
            <w:tcW w:w="122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lang w:eastAsia="zh-CN"/>
              </w:rPr>
              <w:t>技术性要求</w:t>
            </w:r>
          </w:p>
        </w:tc>
        <w:tc>
          <w:tcPr>
            <w:tcW w:w="650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1"/>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515"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4.1</w:t>
            </w:r>
          </w:p>
        </w:tc>
        <w:tc>
          <w:tcPr>
            <w:tcW w:w="1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技术力量</w:t>
            </w:r>
          </w:p>
        </w:tc>
        <w:tc>
          <w:tcPr>
            <w:tcW w:w="650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提供投标人有效期内的质量管理体系认证、高新技术企业证书</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716"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4.2</w:t>
            </w:r>
          </w:p>
        </w:tc>
        <w:tc>
          <w:tcPr>
            <w:tcW w:w="1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售后服务</w:t>
            </w:r>
          </w:p>
        </w:tc>
        <w:tc>
          <w:tcPr>
            <w:tcW w:w="650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质保期3年，7*24小时全天候服务（包含国家法定节假日）</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1780"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4.3</w:t>
            </w:r>
          </w:p>
        </w:tc>
        <w:tc>
          <w:tcPr>
            <w:tcW w:w="122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rPr>
            </w:pPr>
            <w:r>
              <w:rPr>
                <w:rFonts w:hint="eastAsia" w:ascii="宋体" w:hAnsi="宋体" w:cs="宋体"/>
                <w:color w:val="000000"/>
                <w:kern w:val="0"/>
                <w:sz w:val="21"/>
                <w:szCs w:val="21"/>
              </w:rPr>
              <w:t>质量控制</w:t>
            </w:r>
          </w:p>
        </w:tc>
        <w:tc>
          <w:tcPr>
            <w:tcW w:w="6505"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rPr>
            </w:pPr>
            <w:r>
              <w:rPr>
                <w:rFonts w:hint="eastAsia" w:ascii="宋体" w:hAnsi="宋体" w:cs="宋体"/>
                <w:kern w:val="0"/>
                <w:sz w:val="21"/>
                <w:szCs w:val="21"/>
              </w:rPr>
              <w:t xml:space="preserve">1.质保期内软件产品提供免费升级和维护；           </w:t>
            </w:r>
            <w:r>
              <w:rPr>
                <w:rFonts w:hint="eastAsia" w:ascii="宋体" w:hAnsi="宋体" w:cs="宋体"/>
                <w:kern w:val="0"/>
                <w:sz w:val="21"/>
                <w:szCs w:val="21"/>
              </w:rPr>
              <w:br w:type="textWrapping"/>
            </w:r>
            <w:r>
              <w:rPr>
                <w:rFonts w:hint="eastAsia" w:ascii="宋体" w:hAnsi="宋体" w:cs="宋体"/>
                <w:kern w:val="0"/>
                <w:sz w:val="21"/>
                <w:szCs w:val="21"/>
              </w:rPr>
              <w:t xml:space="preserve">2.免费提供不少于4名原厂超融合认证工程师上门安装服务；  </w:t>
            </w:r>
            <w:r>
              <w:rPr>
                <w:rFonts w:hint="eastAsia" w:ascii="宋体" w:hAnsi="宋体" w:cs="宋体"/>
                <w:kern w:val="0"/>
                <w:sz w:val="21"/>
                <w:szCs w:val="21"/>
              </w:rPr>
              <w:br w:type="textWrapping"/>
            </w:r>
            <w:r>
              <w:rPr>
                <w:rFonts w:hint="eastAsia" w:ascii="宋体" w:hAnsi="宋体" w:cs="宋体"/>
                <w:kern w:val="0"/>
                <w:sz w:val="21"/>
                <w:szCs w:val="21"/>
              </w:rPr>
              <w:t>3.提供不少于5天软硬件产品的厂商认证工程师安装配置等实操培训课程，场地，交通等于培训相关的费用均由投标人承担；                                                                         4.当设备出现故障在2个小时无法修复时，需在8个小时内提供备用设备到现场并恢复业务。</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746"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5</w:t>
            </w:r>
          </w:p>
        </w:tc>
        <w:tc>
          <w:tcPr>
            <w:tcW w:w="1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交付（实施）时间</w:t>
            </w:r>
          </w:p>
        </w:tc>
        <w:tc>
          <w:tcPr>
            <w:tcW w:w="650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合同签订后30日内</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1120"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6</w:t>
            </w:r>
          </w:p>
        </w:tc>
        <w:tc>
          <w:tcPr>
            <w:tcW w:w="1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付款方式</w:t>
            </w:r>
          </w:p>
        </w:tc>
        <w:tc>
          <w:tcPr>
            <w:tcW w:w="650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硬件到货后支付合同总额的30%，项目调试完成验收后30个工作日内支付到合同总额的95%，质保满一年后支付合同总额的5%。</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1422" w:hRule="atLeast"/>
        </w:trPr>
        <w:tc>
          <w:tcPr>
            <w:tcW w:w="9400"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b/>
                <w:bCs/>
              </w:rPr>
            </w:pPr>
            <w:r>
              <w:rPr>
                <w:rFonts w:hint="eastAsia"/>
                <w:b/>
                <w:bCs/>
              </w:rPr>
              <w:t>备注：</w:t>
            </w:r>
            <w:r>
              <w:rPr>
                <w:rFonts w:hint="eastAsia"/>
                <w:b/>
                <w:bCs/>
                <w:lang w:eastAsia="zh-CN"/>
              </w:rPr>
              <w:t>本项目不接收负偏离。</w:t>
            </w:r>
            <w:r>
              <w:rPr>
                <w:rFonts w:hint="eastAsia"/>
                <w:b/>
                <w:bCs/>
              </w:rPr>
              <w:t>加注“*”、“·”号的技术指标均需投标企业提供证明材料。</w:t>
            </w:r>
          </w:p>
          <w:p>
            <w:pPr>
              <w:widowControl/>
              <w:jc w:val="left"/>
              <w:rPr>
                <w:rFonts w:hint="eastAsia" w:ascii="仿宋_GB2312" w:hAnsi="宋体" w:eastAsia="仿宋_GB2312" w:cs="宋体"/>
                <w:kern w:val="0"/>
                <w:sz w:val="22"/>
                <w:szCs w:val="22"/>
              </w:rPr>
            </w:pPr>
            <w:r>
              <w:rPr>
                <w:rFonts w:hint="eastAsia" w:ascii="宋体" w:hAnsi="宋体" w:eastAsia="宋体" w:cs="宋体"/>
                <w:b/>
                <w:bCs/>
                <w:color w:val="auto"/>
                <w:kern w:val="2"/>
                <w:sz w:val="21"/>
                <w:szCs w:val="21"/>
                <w:lang w:eastAsia="zh-CN"/>
              </w:rPr>
              <w:t>供应商须提供相关技术指标证明材料予以佐证（证明材料不限于检测报告、试验报告、产品彩页、厂家出具的技术证明文件、实物照片、软件功能截图等，若指标为文字性描述内容则提供承诺书）</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375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4"/>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王维武</cp:lastModifiedBy>
  <dcterms:modified xsi:type="dcterms:W3CDTF">2023-03-21T03:26:15Z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