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182" w:type="dxa"/>
        <w:jc w:val="center"/>
        <w:tblInd w:w="-483" w:type="dxa"/>
        <w:shd w:val="clear" w:color="auto" w:fill="FFFFFF" w:themeFill="background1"/>
        <w:tblLayout w:type="fixed"/>
        <w:tblCellMar>
          <w:top w:w="0" w:type="dxa"/>
          <w:left w:w="0" w:type="dxa"/>
          <w:bottom w:w="0" w:type="dxa"/>
          <w:right w:w="0" w:type="dxa"/>
        </w:tblCellMar>
      </w:tblPr>
      <w:tblGrid>
        <w:gridCol w:w="1116"/>
        <w:gridCol w:w="1875"/>
        <w:gridCol w:w="233"/>
        <w:gridCol w:w="1800"/>
        <w:gridCol w:w="2367"/>
        <w:gridCol w:w="1800"/>
        <w:gridCol w:w="991"/>
      </w:tblGrid>
      <w:tr>
        <w:tblPrEx>
          <w:shd w:val="clear" w:color="auto" w:fill="FFFFFF" w:themeFill="background1"/>
          <w:tblLayout w:type="fixed"/>
          <w:tblCellMar>
            <w:top w:w="0" w:type="dxa"/>
            <w:left w:w="0" w:type="dxa"/>
            <w:bottom w:w="0" w:type="dxa"/>
            <w:right w:w="0" w:type="dxa"/>
          </w:tblCellMar>
        </w:tblPrEx>
        <w:trPr>
          <w:trHeight w:val="540" w:hRule="atLeast"/>
          <w:jc w:val="center"/>
        </w:trPr>
        <w:tc>
          <w:tcPr>
            <w:tcW w:w="10182" w:type="dxa"/>
            <w:gridSpan w:val="7"/>
            <w:tcBorders>
              <w:top w:val="nil"/>
              <w:left w:val="nil"/>
              <w:bottom w:val="nil"/>
              <w:right w:val="nil"/>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shd w:val="clear" w:color="auto" w:fill="FFFFFF" w:themeFill="background1"/>
          <w:tblLayout w:type="fixed"/>
          <w:tblCellMar>
            <w:top w:w="0" w:type="dxa"/>
            <w:left w:w="0" w:type="dxa"/>
            <w:bottom w:w="0" w:type="dxa"/>
            <w:right w:w="0" w:type="dxa"/>
          </w:tblCellMar>
        </w:tblPrEx>
        <w:trPr>
          <w:trHeight w:val="5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设备名称</w:t>
            </w:r>
          </w:p>
        </w:tc>
        <w:tc>
          <w:tcPr>
            <w:tcW w:w="187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心电图机</w:t>
            </w:r>
          </w:p>
        </w:tc>
        <w:tc>
          <w:tcPr>
            <w:tcW w:w="203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总数量</w:t>
            </w:r>
          </w:p>
        </w:tc>
        <w:tc>
          <w:tcPr>
            <w:tcW w:w="236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4台</w:t>
            </w:r>
          </w:p>
        </w:tc>
        <w:tc>
          <w:tcPr>
            <w:tcW w:w="2791"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预算总金额</w:t>
            </w:r>
            <w:bookmarkStart w:id="0" w:name="_GoBack"/>
            <w:bookmarkEnd w:id="0"/>
            <w:r>
              <w:rPr>
                <w:rFonts w:hint="eastAsia" w:ascii="黑体" w:hAnsi="宋体" w:eastAsia="黑体" w:cs="黑体"/>
                <w:i w:val="0"/>
                <w:color w:val="000000"/>
                <w:kern w:val="0"/>
                <w:sz w:val="20"/>
                <w:szCs w:val="20"/>
                <w:u w:val="none"/>
                <w:lang w:val="en-US" w:eastAsia="zh-CN" w:bidi="ar"/>
              </w:rPr>
              <w:t>：20万元</w:t>
            </w:r>
          </w:p>
        </w:tc>
      </w:tr>
      <w:tr>
        <w:tblPrEx>
          <w:shd w:val="clear" w:color="auto" w:fill="FFFFFF" w:themeFill="background1"/>
          <w:tblLayout w:type="fixed"/>
          <w:tblCellMar>
            <w:top w:w="0" w:type="dxa"/>
            <w:left w:w="0" w:type="dxa"/>
            <w:bottom w:w="0" w:type="dxa"/>
            <w:right w:w="0" w:type="dxa"/>
          </w:tblCellMar>
        </w:tblPrEx>
        <w:trPr>
          <w:trHeight w:val="62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0"/>
                <w:szCs w:val="20"/>
                <w:u w:val="none"/>
              </w:rPr>
            </w:pPr>
            <w:r>
              <w:rPr>
                <w:rFonts w:hint="eastAsia" w:ascii="幼圆" w:hAnsi="幼圆" w:eastAsia="幼圆" w:cs="幼圆"/>
                <w:b/>
                <w:i w:val="0"/>
                <w:color w:val="000000"/>
                <w:kern w:val="0"/>
                <w:sz w:val="20"/>
                <w:szCs w:val="20"/>
                <w:u w:val="none"/>
                <w:lang w:val="en-US" w:eastAsia="zh-CN" w:bidi="ar"/>
              </w:rPr>
              <w:t>序号</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0"/>
                <w:szCs w:val="20"/>
                <w:u w:val="none"/>
              </w:rPr>
            </w:pPr>
            <w:r>
              <w:rPr>
                <w:rFonts w:hint="eastAsia" w:ascii="幼圆" w:hAnsi="幼圆" w:eastAsia="幼圆" w:cs="幼圆"/>
                <w:b/>
                <w:i w:val="0"/>
                <w:color w:val="000000"/>
                <w:kern w:val="0"/>
                <w:sz w:val="20"/>
                <w:szCs w:val="20"/>
                <w:u w:val="none"/>
                <w:lang w:val="en-US" w:eastAsia="zh-CN" w:bidi="ar"/>
              </w:rPr>
              <w:t>技术和性能参数名称</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0"/>
                <w:szCs w:val="20"/>
                <w:u w:val="none"/>
              </w:rPr>
            </w:pPr>
            <w:r>
              <w:rPr>
                <w:rFonts w:hint="eastAsia" w:ascii="幼圆" w:hAnsi="幼圆" w:eastAsia="幼圆" w:cs="幼圆"/>
                <w:b/>
                <w:i w:val="0"/>
                <w:color w:val="000000"/>
                <w:kern w:val="0"/>
                <w:sz w:val="20"/>
                <w:szCs w:val="20"/>
                <w:u w:val="none"/>
                <w:lang w:val="en-US" w:eastAsia="zh-CN" w:bidi="ar"/>
              </w:rPr>
              <w:t>招标参数和性能要求</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0"/>
                <w:szCs w:val="20"/>
                <w:u w:val="none"/>
              </w:rPr>
            </w:pPr>
            <w:r>
              <w:rPr>
                <w:rFonts w:hint="eastAsia" w:ascii="幼圆" w:hAnsi="幼圆" w:eastAsia="幼圆" w:cs="幼圆"/>
                <w:b/>
                <w:i w:val="0"/>
                <w:color w:val="000000"/>
                <w:kern w:val="0"/>
                <w:sz w:val="20"/>
                <w:szCs w:val="20"/>
                <w:u w:val="none"/>
                <w:lang w:val="en-US" w:eastAsia="zh-CN" w:bidi="ar"/>
              </w:rPr>
              <w:t>备注</w:t>
            </w: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基本要求</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标准12导联心电图机，可自动采集人体心电信号，并自动分析打印</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资质认证</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具备CFDA，同时具备FDA或CE认证</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采集部分</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导联</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标准12导联同步采集</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频率响应</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范围不低于0.05Hz~150Hz</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输入阻抗</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≥50MG</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耐极化电压</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≥±300mV</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共模抑制比</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≥100dB</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噪声水平</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≤15uVp-p，带除颤保护</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时间常数</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≥3.2s</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采样率</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≥8000Hz/导联</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滤波器</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肌电滤波器</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高频截止滤波器</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基线漂移滤波</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打印部分</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打印机</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内置热敏打印机</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记录通道</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至少包含12通道同步打印</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记录纸</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电池</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4"/>
                <w:lang w:val="en-US" w:eastAsia="zh-CN" w:bidi="ar"/>
              </w:rPr>
              <w:t>内置锂电池，断电后可工作≥90分钟</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显示屏</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4"/>
                <w:lang w:val="en-US" w:eastAsia="zh-CN" w:bidi="ar"/>
              </w:rPr>
              <w:t>*6.1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尺寸</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4"/>
                <w:lang w:val="en-US" w:eastAsia="zh-CN" w:bidi="ar"/>
              </w:rPr>
              <w:t>≥6.5英寸</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4"/>
                <w:lang w:val="en-US" w:eastAsia="zh-CN" w:bidi="ar"/>
              </w:rPr>
              <w:t>·6.2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触摸屏</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显示分辨率</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≥800×600</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软件</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自动测量分析软件</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具备FDA认证</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工作模式</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具备手动、自动、R-R等模式</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周期检测</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波形冻结</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波形回放</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起搏器分析</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导联错接检测</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数据存储</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可存储200份以上10秒钟500Hz全部12导联的心电信息</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数据导出</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可U盘导出数据，支持局域网数据传输</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7.10 </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其他分析功能</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配置需求</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心电图机主机、≥12导导联线、肢体夹和吸球、电源线、电池、地线、推车</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物联网支持功能</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联网要求</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设备具备物联网功能,能够通过有线或者无线的方式联网。数据内容包括设备运行状态和关键系统参数等。对于该设备，应包括波形、体征、报警等信息</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技术文件</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设备厂商向院方提供详细的有关接口形式和数据传输协议的说明文档，交由物联网项目组验收,并配合院方解决设备联网相关问题。</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保修及维修</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保修年限</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预防性维修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/定期维护保养</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保修期内按维修手册要求提供定期维护保养服务</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配件报价</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维修工时费计算方法及价格</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至少提供按小时计费和按故障点计费两种方式，用户可自行选择</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5"/>
                <w:lang w:val="en-US" w:eastAsia="zh-CN" w:bidi="ar"/>
              </w:rPr>
              <w:t>提供设备配套的维修专用工具</w:t>
            </w:r>
            <w:r>
              <w:rPr>
                <w:rStyle w:val="6"/>
                <w:lang w:val="en-US" w:eastAsia="zh-CN" w:bidi="ar"/>
              </w:rPr>
              <w:t>（如有）</w:t>
            </w:r>
            <w:r>
              <w:rPr>
                <w:rStyle w:val="5"/>
                <w:lang w:val="en-US" w:eastAsia="zh-CN" w:bidi="ar"/>
              </w:rPr>
              <w:t>，资料（操作手册、维修手册等）</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提供使用培训和工程师培训（厂家自报方式）</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210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5967"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99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FFFFFF" w:themeFill="background1"/>
          <w:tblLayout w:type="fixed"/>
          <w:tblCellMar>
            <w:top w:w="0" w:type="dxa"/>
            <w:left w:w="0" w:type="dxa"/>
            <w:bottom w:w="0" w:type="dxa"/>
            <w:right w:w="0" w:type="dxa"/>
          </w:tblCellMar>
        </w:tblPrEx>
        <w:trPr>
          <w:trHeight w:val="0" w:hRule="atLeast"/>
          <w:jc w:val="center"/>
        </w:trPr>
        <w:tc>
          <w:tcPr>
            <w:tcW w:w="1018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i w:val="0"/>
                <w:color w:val="000000"/>
                <w:lang w:val="en-US" w:eastAsia="zh-CN" w:bidi="ar"/>
              </w:rPr>
              <w:t>备注：1.加注“*”号的技术指标为关键指标，≥1项未达到招标文件要求，即做废标处理。</w:t>
            </w:r>
            <w:r>
              <w:rPr>
                <w:rStyle w:val="8"/>
                <w:i w:val="0"/>
                <w:color w:val="000000"/>
                <w:lang w:val="en-US" w:eastAsia="zh-CN" w:bidi="ar"/>
              </w:rPr>
              <w:br w:type="textWrapping"/>
            </w:r>
            <w:r>
              <w:rPr>
                <w:rStyle w:val="8"/>
                <w:i w:val="0"/>
                <w:color w:val="000000"/>
                <w:lang w:val="en-US" w:eastAsia="zh-CN" w:bidi="ar"/>
              </w:rPr>
              <w:t xml:space="preserve">      2.加注“·”号的技术指标为重要指标。</w:t>
            </w:r>
            <w:r>
              <w:rPr>
                <w:rStyle w:val="8"/>
                <w:i w:val="0"/>
                <w:color w:val="000000"/>
                <w:lang w:val="en-US" w:eastAsia="zh-CN" w:bidi="ar"/>
              </w:rPr>
              <w:br w:type="textWrapping"/>
            </w:r>
            <w:r>
              <w:rPr>
                <w:rStyle w:val="8"/>
                <w:i w:val="0"/>
                <w:color w:val="000000"/>
                <w:lang w:val="en-US" w:eastAsia="zh-CN" w:bidi="ar"/>
              </w:rPr>
              <w:t xml:space="preserve">      3.加注“*”、“·”号的技术指标均需投标企业提供证明材料。</w:t>
            </w:r>
          </w:p>
        </w:tc>
      </w:tr>
    </w:tbl>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F1798B"/>
    <w:rsid w:val="5D8E5C52"/>
    <w:rsid w:val="787A7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21"/>
    <w:basedOn w:val="3"/>
    <w:qFormat/>
    <w:uiPriority w:val="0"/>
    <w:rPr>
      <w:rFonts w:hint="eastAsia" w:ascii="宋体" w:hAnsi="宋体" w:eastAsia="宋体" w:cs="宋体"/>
      <w:color w:val="000000"/>
      <w:sz w:val="20"/>
      <w:szCs w:val="20"/>
      <w:u w:val="none"/>
    </w:rPr>
  </w:style>
  <w:style w:type="character" w:customStyle="1" w:styleId="5">
    <w:name w:val="font151"/>
    <w:basedOn w:val="3"/>
    <w:qFormat/>
    <w:uiPriority w:val="0"/>
    <w:rPr>
      <w:rFonts w:hint="eastAsia" w:ascii="宋体" w:hAnsi="宋体" w:eastAsia="宋体" w:cs="宋体"/>
      <w:color w:val="000000"/>
      <w:sz w:val="22"/>
      <w:szCs w:val="22"/>
      <w:u w:val="none"/>
    </w:rPr>
  </w:style>
  <w:style w:type="character" w:customStyle="1" w:styleId="6">
    <w:name w:val="font51"/>
    <w:basedOn w:val="3"/>
    <w:qFormat/>
    <w:uiPriority w:val="0"/>
    <w:rPr>
      <w:rFonts w:hint="eastAsia" w:ascii="宋体" w:hAnsi="宋体" w:eastAsia="宋体" w:cs="宋体"/>
      <w:color w:val="000000"/>
      <w:sz w:val="22"/>
      <w:szCs w:val="22"/>
      <w:u w:val="none"/>
    </w:rPr>
  </w:style>
  <w:style w:type="character" w:customStyle="1" w:styleId="7">
    <w:name w:val="font01"/>
    <w:basedOn w:val="3"/>
    <w:qFormat/>
    <w:uiPriority w:val="0"/>
    <w:rPr>
      <w:rFonts w:hint="default" w:ascii="Times New Roman" w:hAnsi="Times New Roman" w:cs="Times New Roman"/>
      <w:color w:val="000000"/>
      <w:sz w:val="20"/>
      <w:szCs w:val="20"/>
      <w:u w:val="none"/>
    </w:rPr>
  </w:style>
  <w:style w:type="character" w:customStyle="1" w:styleId="8">
    <w:name w:val="font13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2022-08-30T03:41:00Z</dcterms:created>
  <dc:creator>DOCTOR</dc:creator>
  <cp:lastModifiedBy>doctor</cp:lastModifiedBy>
  <dcterms:modified xsi:type="dcterms:W3CDTF">2022-10-10T08:19:47Z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