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10388" w:type="dxa"/>
        <w:jc w:val="center"/>
        <w:tblInd w:w="-125" w:type="dxa"/>
        <w:shd w:val="clear"/>
        <w:tblLayout w:type="fixed"/>
        <w:tblCellMar>
          <w:top w:w="0" w:type="dxa"/>
          <w:left w:w="0" w:type="dxa"/>
          <w:bottom w:w="0" w:type="dxa"/>
          <w:right w:w="0" w:type="dxa"/>
        </w:tblCellMar>
      </w:tblPr>
      <w:tblGrid>
        <w:gridCol w:w="1069"/>
        <w:gridCol w:w="896"/>
        <w:gridCol w:w="1199"/>
        <w:gridCol w:w="1595"/>
        <w:gridCol w:w="1159"/>
        <w:gridCol w:w="914"/>
        <w:gridCol w:w="1091"/>
        <w:gridCol w:w="1677"/>
        <w:gridCol w:w="788"/>
      </w:tblGrid>
      <w:tr>
        <w:tblPrEx>
          <w:shd w:val="clear"/>
          <w:tblLayout w:type="fixed"/>
          <w:tblCellMar>
            <w:top w:w="0" w:type="dxa"/>
            <w:left w:w="0" w:type="dxa"/>
            <w:bottom w:w="0" w:type="dxa"/>
            <w:right w:w="0" w:type="dxa"/>
          </w:tblCellMar>
        </w:tblPrEx>
        <w:trPr>
          <w:trHeight w:val="90" w:hRule="atLeast"/>
          <w:jc w:val="center"/>
        </w:trPr>
        <w:tc>
          <w:tcPr>
            <w:tcW w:w="10388" w:type="dxa"/>
            <w:gridSpan w:val="9"/>
            <w:tcBorders>
              <w:top w:val="nil"/>
              <w:left w:val="nil"/>
              <w:bottom w:val="nil"/>
              <w:right w:val="nil"/>
            </w:tcBorders>
            <w:shd w:val="clear"/>
            <w:tcMar>
              <w:top w:w="15" w:type="dxa"/>
              <w:left w:w="15" w:type="dxa"/>
              <w:right w:w="15" w:type="dxa"/>
            </w:tcMar>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color w:val="000000"/>
                <w:sz w:val="44"/>
                <w:szCs w:val="44"/>
                <w:u w:val="none"/>
              </w:rPr>
            </w:pPr>
            <w:r>
              <w:rPr>
                <w:rFonts w:hint="default" w:ascii="方正小标宋简体" w:hAnsi="方正小标宋简体" w:eastAsia="方正小标宋简体" w:cs="方正小标宋简体"/>
                <w:i w:val="0"/>
                <w:color w:val="000000"/>
                <w:kern w:val="0"/>
                <w:sz w:val="40"/>
                <w:szCs w:val="40"/>
                <w:u w:val="none"/>
                <w:bdr w:val="none" w:color="auto" w:sz="0" w:space="0"/>
                <w:lang w:val="en-US" w:eastAsia="zh-CN" w:bidi="ar"/>
              </w:rPr>
              <w:t>技术需求表（服务类）</w:t>
            </w:r>
          </w:p>
        </w:tc>
      </w:tr>
      <w:tr>
        <w:tblPrEx>
          <w:tblLayout w:type="fixed"/>
          <w:tblCellMar>
            <w:top w:w="0" w:type="dxa"/>
            <w:left w:w="0" w:type="dxa"/>
            <w:bottom w:w="0" w:type="dxa"/>
            <w:right w:w="0" w:type="dxa"/>
          </w:tblCellMar>
        </w:tblPrEx>
        <w:trPr>
          <w:trHeight w:val="720" w:hRule="atLeast"/>
          <w:jc w:val="center"/>
        </w:trPr>
        <w:tc>
          <w:tcPr>
            <w:tcW w:w="106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bdr w:val="none" w:color="auto" w:sz="0" w:space="0"/>
                <w:lang w:val="en-US" w:eastAsia="zh-CN" w:bidi="ar"/>
              </w:rPr>
              <w:t>项目名称</w:t>
            </w:r>
          </w:p>
        </w:tc>
        <w:tc>
          <w:tcPr>
            <w:tcW w:w="2095"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医用直线加速器维保</w:t>
            </w:r>
          </w:p>
        </w:tc>
        <w:tc>
          <w:tcPr>
            <w:tcW w:w="15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bdr w:val="none" w:color="auto" w:sz="0" w:space="0"/>
                <w:lang w:val="en-US" w:eastAsia="zh-CN" w:bidi="ar"/>
              </w:rPr>
              <w:t>单价</w:t>
            </w:r>
            <w:r>
              <w:rPr>
                <w:rFonts w:hint="eastAsia" w:ascii="黑体" w:hAnsi="宋体" w:eastAsia="黑体" w:cs="黑体"/>
                <w:i w:val="0"/>
                <w:color w:val="000000"/>
                <w:kern w:val="0"/>
                <w:sz w:val="24"/>
                <w:szCs w:val="24"/>
                <w:u w:val="none"/>
                <w:bdr w:val="none" w:color="auto" w:sz="0" w:space="0"/>
                <w:lang w:val="en-US" w:eastAsia="zh-CN" w:bidi="ar"/>
              </w:rPr>
              <w:br w:type="textWrapping"/>
            </w:r>
            <w:r>
              <w:rPr>
                <w:rFonts w:hint="eastAsia" w:ascii="黑体" w:hAnsi="宋体" w:eastAsia="黑体" w:cs="黑体"/>
                <w:i w:val="0"/>
                <w:color w:val="000000"/>
                <w:kern w:val="0"/>
                <w:sz w:val="24"/>
                <w:szCs w:val="24"/>
                <w:u w:val="none"/>
                <w:bdr w:val="none" w:color="auto" w:sz="0" w:space="0"/>
                <w:lang w:val="en-US" w:eastAsia="zh-CN" w:bidi="ar"/>
              </w:rPr>
              <w:t>（万元）</w:t>
            </w:r>
          </w:p>
        </w:tc>
        <w:tc>
          <w:tcPr>
            <w:tcW w:w="115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98/年</w:t>
            </w:r>
          </w:p>
        </w:tc>
        <w:tc>
          <w:tcPr>
            <w:tcW w:w="91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bdr w:val="none" w:color="auto" w:sz="0" w:space="0"/>
                <w:lang w:val="en-US" w:eastAsia="zh-CN" w:bidi="ar"/>
              </w:rPr>
              <w:t>数量</w:t>
            </w:r>
          </w:p>
        </w:tc>
        <w:tc>
          <w:tcPr>
            <w:tcW w:w="109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3年</w:t>
            </w:r>
          </w:p>
        </w:tc>
        <w:tc>
          <w:tcPr>
            <w:tcW w:w="167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bdr w:val="none" w:color="auto" w:sz="0" w:space="0"/>
                <w:lang w:val="en-US" w:eastAsia="zh-CN" w:bidi="ar"/>
              </w:rPr>
              <w:t>预算总金额</w:t>
            </w:r>
            <w:r>
              <w:rPr>
                <w:rFonts w:hint="eastAsia" w:ascii="黑体" w:hAnsi="宋体" w:eastAsia="黑体" w:cs="黑体"/>
                <w:i w:val="0"/>
                <w:color w:val="000000"/>
                <w:kern w:val="0"/>
                <w:sz w:val="24"/>
                <w:szCs w:val="24"/>
                <w:u w:val="none"/>
                <w:bdr w:val="none" w:color="auto" w:sz="0" w:space="0"/>
                <w:lang w:val="en-US" w:eastAsia="zh-CN" w:bidi="ar"/>
              </w:rPr>
              <w:br w:type="textWrapping"/>
            </w:r>
            <w:r>
              <w:rPr>
                <w:rFonts w:hint="eastAsia" w:ascii="黑体" w:hAnsi="宋体" w:eastAsia="黑体" w:cs="黑体"/>
                <w:i w:val="0"/>
                <w:color w:val="000000"/>
                <w:kern w:val="0"/>
                <w:sz w:val="24"/>
                <w:szCs w:val="24"/>
                <w:u w:val="none"/>
                <w:bdr w:val="none" w:color="auto" w:sz="0" w:space="0"/>
                <w:lang w:val="en-US" w:eastAsia="zh-CN" w:bidi="ar"/>
              </w:rPr>
              <w:t>（万元）</w:t>
            </w:r>
          </w:p>
        </w:tc>
        <w:tc>
          <w:tcPr>
            <w:tcW w:w="78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294</w:t>
            </w:r>
          </w:p>
        </w:tc>
      </w:tr>
      <w:tr>
        <w:tblPrEx>
          <w:tblLayout w:type="fixed"/>
          <w:tblCellMar>
            <w:top w:w="0" w:type="dxa"/>
            <w:left w:w="0" w:type="dxa"/>
            <w:bottom w:w="0" w:type="dxa"/>
            <w:right w:w="0" w:type="dxa"/>
          </w:tblCellMar>
        </w:tblPrEx>
        <w:trPr>
          <w:trHeight w:val="450" w:hRule="atLeast"/>
          <w:jc w:val="center"/>
        </w:trPr>
        <w:tc>
          <w:tcPr>
            <w:tcW w:w="106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bdr w:val="none" w:color="auto" w:sz="0" w:space="0"/>
                <w:lang w:val="en-US" w:eastAsia="zh-CN" w:bidi="ar"/>
              </w:rPr>
              <w:t>需求类别</w:t>
            </w:r>
          </w:p>
        </w:tc>
        <w:tc>
          <w:tcPr>
            <w:tcW w:w="89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bdr w:val="none" w:color="auto" w:sz="0" w:space="0"/>
                <w:lang w:val="en-US" w:eastAsia="zh-CN" w:bidi="ar"/>
              </w:rPr>
              <w:t>序号</w:t>
            </w:r>
          </w:p>
        </w:tc>
        <w:tc>
          <w:tcPr>
            <w:tcW w:w="119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bdr w:val="none" w:color="auto" w:sz="0" w:space="0"/>
                <w:lang w:val="en-US" w:eastAsia="zh-CN" w:bidi="ar"/>
              </w:rPr>
              <w:t>需求名称</w:t>
            </w:r>
          </w:p>
        </w:tc>
        <w:tc>
          <w:tcPr>
            <w:tcW w:w="6436" w:type="dxa"/>
            <w:gridSpan w:val="5"/>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bdr w:val="none" w:color="auto" w:sz="0" w:space="0"/>
                <w:lang w:val="en-US" w:eastAsia="zh-CN" w:bidi="ar"/>
              </w:rPr>
              <w:t>技术参数和需求内容</w:t>
            </w:r>
          </w:p>
        </w:tc>
        <w:tc>
          <w:tcPr>
            <w:tcW w:w="78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bdr w:val="none" w:color="auto" w:sz="0" w:space="0"/>
                <w:lang w:val="en-US" w:eastAsia="zh-CN" w:bidi="ar"/>
              </w:rPr>
              <w:t>备注</w:t>
            </w:r>
          </w:p>
        </w:tc>
      </w:tr>
      <w:tr>
        <w:tblPrEx>
          <w:tblLayout w:type="fixed"/>
          <w:tblCellMar>
            <w:top w:w="0" w:type="dxa"/>
            <w:left w:w="0" w:type="dxa"/>
            <w:bottom w:w="0" w:type="dxa"/>
            <w:right w:w="0" w:type="dxa"/>
          </w:tblCellMar>
        </w:tblPrEx>
        <w:trPr>
          <w:trHeight w:val="1062" w:hRule="atLeast"/>
          <w:jc w:val="center"/>
        </w:trPr>
        <w:tc>
          <w:tcPr>
            <w:tcW w:w="1069"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Style w:val="4"/>
                <w:rFonts w:hAnsi="宋体"/>
                <w:bdr w:val="none" w:color="auto" w:sz="0" w:space="0"/>
                <w:lang w:val="en-US" w:eastAsia="zh-CN" w:bidi="ar"/>
              </w:rPr>
              <w:t>符合性要求</w:t>
            </w:r>
            <w:r>
              <w:rPr>
                <w:rStyle w:val="5"/>
                <w:rFonts w:hAnsi="宋体"/>
                <w:bdr w:val="none" w:color="auto" w:sz="0" w:space="0"/>
                <w:lang w:val="en-US" w:eastAsia="zh-CN" w:bidi="ar"/>
              </w:rPr>
              <w:t>（*号指标或其他必须响应条款）</w:t>
            </w:r>
          </w:p>
        </w:tc>
        <w:tc>
          <w:tcPr>
            <w:tcW w:w="89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*1</w:t>
            </w:r>
          </w:p>
        </w:tc>
        <w:tc>
          <w:tcPr>
            <w:tcW w:w="119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服务要求</w:t>
            </w:r>
          </w:p>
        </w:tc>
        <w:tc>
          <w:tcPr>
            <w:tcW w:w="6436" w:type="dxa"/>
            <w:gridSpan w:val="5"/>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投标方负责提供Synergy直线加速器主机，涵盖MLC多叶光栅机头、控制系统、治疗床、iViewGT图像引导、XVI影像接收板、TPS治疗计划系统、MOSAIQ放疗网络系统、水冷机、激光定位灯及贵重零配件更换等整机保修。</w:t>
            </w:r>
          </w:p>
        </w:tc>
        <w:tc>
          <w:tcPr>
            <w:tcW w:w="78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r>
      <w:tr>
        <w:tblPrEx>
          <w:tblLayout w:type="fixed"/>
          <w:tblCellMar>
            <w:top w:w="0" w:type="dxa"/>
            <w:left w:w="0" w:type="dxa"/>
            <w:bottom w:w="0" w:type="dxa"/>
            <w:right w:w="0" w:type="dxa"/>
          </w:tblCellMar>
        </w:tblPrEx>
        <w:trPr>
          <w:trHeight w:val="510" w:hRule="atLeast"/>
          <w:jc w:val="center"/>
        </w:trPr>
        <w:tc>
          <w:tcPr>
            <w:tcW w:w="1069"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黑体" w:hAnsi="宋体" w:eastAsia="黑体" w:cs="黑体"/>
                <w:i w:val="0"/>
                <w:color w:val="000000"/>
                <w:sz w:val="24"/>
                <w:szCs w:val="24"/>
                <w:u w:val="none"/>
              </w:rPr>
            </w:pPr>
          </w:p>
        </w:tc>
        <w:tc>
          <w:tcPr>
            <w:tcW w:w="89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2</w:t>
            </w:r>
          </w:p>
        </w:tc>
        <w:tc>
          <w:tcPr>
            <w:tcW w:w="119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其他符合性条款</w:t>
            </w:r>
          </w:p>
        </w:tc>
        <w:tc>
          <w:tcPr>
            <w:tcW w:w="6436" w:type="dxa"/>
            <w:gridSpan w:val="5"/>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bookmarkStart w:id="0" w:name="_GoBack"/>
            <w:bookmarkEnd w:id="0"/>
            <w:r>
              <w:rPr>
                <w:rFonts w:hint="eastAsia" w:ascii="仿宋_GB2312" w:hAnsi="宋体" w:eastAsia="仿宋_GB2312" w:cs="仿宋_GB2312"/>
                <w:i w:val="0"/>
                <w:color w:val="000000"/>
                <w:kern w:val="0"/>
                <w:sz w:val="20"/>
                <w:szCs w:val="20"/>
                <w:u w:val="none"/>
                <w:bdr w:val="none" w:color="auto" w:sz="0" w:space="0"/>
                <w:lang w:val="en-US" w:eastAsia="zh-CN" w:bidi="ar"/>
              </w:rPr>
              <w:t>无</w:t>
            </w:r>
          </w:p>
        </w:tc>
        <w:tc>
          <w:tcPr>
            <w:tcW w:w="78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r>
      <w:tr>
        <w:tblPrEx>
          <w:tblLayout w:type="fixed"/>
          <w:tblCellMar>
            <w:top w:w="0" w:type="dxa"/>
            <w:left w:w="0" w:type="dxa"/>
            <w:bottom w:w="0" w:type="dxa"/>
            <w:right w:w="0" w:type="dxa"/>
          </w:tblCellMar>
        </w:tblPrEx>
        <w:trPr>
          <w:trHeight w:val="1095" w:hRule="atLeast"/>
          <w:jc w:val="center"/>
        </w:trPr>
        <w:tc>
          <w:tcPr>
            <w:tcW w:w="1069"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Style w:val="4"/>
                <w:rFonts w:hAnsi="宋体"/>
                <w:bdr w:val="none" w:color="auto" w:sz="0" w:space="0"/>
                <w:lang w:val="en-US" w:eastAsia="zh-CN" w:bidi="ar"/>
              </w:rPr>
              <w:t>资格性要求</w:t>
            </w:r>
            <w:r>
              <w:rPr>
                <w:rStyle w:val="5"/>
                <w:rFonts w:hAnsi="宋体"/>
                <w:bdr w:val="none" w:color="auto" w:sz="0" w:space="0"/>
                <w:lang w:val="en-US" w:eastAsia="zh-CN" w:bidi="ar"/>
              </w:rPr>
              <w:t>（指对产品或企业投标资格的要求）</w:t>
            </w:r>
          </w:p>
        </w:tc>
        <w:tc>
          <w:tcPr>
            <w:tcW w:w="89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•1</w:t>
            </w:r>
          </w:p>
        </w:tc>
        <w:tc>
          <w:tcPr>
            <w:tcW w:w="119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人员资格</w:t>
            </w:r>
          </w:p>
        </w:tc>
        <w:tc>
          <w:tcPr>
            <w:tcW w:w="6436" w:type="dxa"/>
            <w:gridSpan w:val="5"/>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投标人须有具有专业资深的技术支持团队，工程师需取得设备厂家维修资质认证且同时具备辐射安全培训与防护培训证书；具备放疗网络维修能力；要求全部工程师应为在职状态，提供在职单位最近一年缴纳社保记录材料。</w:t>
            </w:r>
          </w:p>
        </w:tc>
        <w:tc>
          <w:tcPr>
            <w:tcW w:w="78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left"/>
              <w:rPr>
                <w:rFonts w:hint="eastAsia" w:ascii="仿宋_GB2312" w:hAnsi="宋体" w:eastAsia="仿宋_GB2312" w:cs="仿宋_GB2312"/>
                <w:i w:val="0"/>
                <w:color w:val="000000"/>
                <w:sz w:val="24"/>
                <w:szCs w:val="24"/>
                <w:u w:val="none"/>
              </w:rPr>
            </w:pPr>
          </w:p>
        </w:tc>
      </w:tr>
      <w:tr>
        <w:tblPrEx>
          <w:shd w:val="clear"/>
          <w:tblLayout w:type="fixed"/>
          <w:tblCellMar>
            <w:top w:w="0" w:type="dxa"/>
            <w:left w:w="0" w:type="dxa"/>
            <w:bottom w:w="0" w:type="dxa"/>
            <w:right w:w="0" w:type="dxa"/>
          </w:tblCellMar>
        </w:tblPrEx>
        <w:trPr>
          <w:trHeight w:val="585" w:hRule="atLeast"/>
          <w:jc w:val="center"/>
        </w:trPr>
        <w:tc>
          <w:tcPr>
            <w:tcW w:w="1069"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黑体" w:hAnsi="宋体" w:eastAsia="黑体" w:cs="黑体"/>
                <w:i w:val="0"/>
                <w:color w:val="000000"/>
                <w:sz w:val="24"/>
                <w:szCs w:val="24"/>
                <w:u w:val="none"/>
              </w:rPr>
            </w:pPr>
          </w:p>
        </w:tc>
        <w:tc>
          <w:tcPr>
            <w:tcW w:w="89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•2</w:t>
            </w:r>
          </w:p>
        </w:tc>
        <w:tc>
          <w:tcPr>
            <w:tcW w:w="119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企业资格</w:t>
            </w:r>
          </w:p>
        </w:tc>
        <w:tc>
          <w:tcPr>
            <w:tcW w:w="6436" w:type="dxa"/>
            <w:gridSpan w:val="5"/>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具备直线加速器生产厂家的维修维保授权，并设有长期稳定的服务机构，成立年限≥5年。</w:t>
            </w:r>
          </w:p>
        </w:tc>
        <w:tc>
          <w:tcPr>
            <w:tcW w:w="78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r>
      <w:tr>
        <w:tblPrEx>
          <w:tblLayout w:type="fixed"/>
          <w:tblCellMar>
            <w:top w:w="0" w:type="dxa"/>
            <w:left w:w="0" w:type="dxa"/>
            <w:bottom w:w="0" w:type="dxa"/>
            <w:right w:w="0" w:type="dxa"/>
          </w:tblCellMar>
        </w:tblPrEx>
        <w:trPr>
          <w:trHeight w:val="510" w:hRule="atLeast"/>
          <w:jc w:val="center"/>
        </w:trPr>
        <w:tc>
          <w:tcPr>
            <w:tcW w:w="1069"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黑体" w:hAnsi="宋体" w:eastAsia="黑体" w:cs="黑体"/>
                <w:i w:val="0"/>
                <w:color w:val="000000"/>
                <w:sz w:val="24"/>
                <w:szCs w:val="24"/>
                <w:u w:val="none"/>
              </w:rPr>
            </w:pPr>
          </w:p>
        </w:tc>
        <w:tc>
          <w:tcPr>
            <w:tcW w:w="89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3</w:t>
            </w:r>
          </w:p>
        </w:tc>
        <w:tc>
          <w:tcPr>
            <w:tcW w:w="119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其他资格性条款</w:t>
            </w:r>
          </w:p>
        </w:tc>
        <w:tc>
          <w:tcPr>
            <w:tcW w:w="6436" w:type="dxa"/>
            <w:gridSpan w:val="5"/>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具备辐射安全许可证</w:t>
            </w:r>
          </w:p>
        </w:tc>
        <w:tc>
          <w:tcPr>
            <w:tcW w:w="78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r>
      <w:tr>
        <w:tblPrEx>
          <w:tblLayout w:type="fixed"/>
          <w:tblCellMar>
            <w:top w:w="0" w:type="dxa"/>
            <w:left w:w="0" w:type="dxa"/>
            <w:bottom w:w="0" w:type="dxa"/>
            <w:right w:w="0" w:type="dxa"/>
          </w:tblCellMar>
        </w:tblPrEx>
        <w:trPr>
          <w:trHeight w:val="510" w:hRule="atLeast"/>
          <w:jc w:val="center"/>
        </w:trPr>
        <w:tc>
          <w:tcPr>
            <w:tcW w:w="1069"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bdr w:val="none" w:color="auto" w:sz="0" w:space="0"/>
                <w:lang w:val="en-US" w:eastAsia="zh-CN" w:bidi="ar"/>
              </w:rPr>
              <w:t>技术性要求</w:t>
            </w:r>
          </w:p>
        </w:tc>
        <w:tc>
          <w:tcPr>
            <w:tcW w:w="89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1</w:t>
            </w:r>
          </w:p>
        </w:tc>
        <w:tc>
          <w:tcPr>
            <w:tcW w:w="1199"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项目经理</w:t>
            </w:r>
            <w:r>
              <w:rPr>
                <w:rFonts w:hint="eastAsia" w:ascii="宋体" w:hAnsi="宋体" w:eastAsia="宋体" w:cs="宋体"/>
                <w:i w:val="0"/>
                <w:color w:val="000000"/>
                <w:kern w:val="0"/>
                <w:sz w:val="24"/>
                <w:szCs w:val="24"/>
                <w:u w:val="none"/>
                <w:bdr w:val="none" w:color="auto" w:sz="0" w:space="0"/>
                <w:lang w:val="en-US" w:eastAsia="zh-CN" w:bidi="ar"/>
              </w:rPr>
              <w:br w:type="textWrapping"/>
            </w:r>
            <w:r>
              <w:rPr>
                <w:rFonts w:hint="eastAsia" w:ascii="宋体" w:hAnsi="宋体" w:eastAsia="宋体" w:cs="宋体"/>
                <w:i w:val="0"/>
                <w:color w:val="000000"/>
                <w:kern w:val="0"/>
                <w:sz w:val="24"/>
                <w:szCs w:val="24"/>
                <w:u w:val="none"/>
                <w:bdr w:val="none" w:color="auto" w:sz="0" w:space="0"/>
                <w:lang w:val="en-US" w:eastAsia="zh-CN" w:bidi="ar"/>
              </w:rPr>
              <w:t>具备资质</w:t>
            </w:r>
          </w:p>
        </w:tc>
        <w:tc>
          <w:tcPr>
            <w:tcW w:w="6436" w:type="dxa"/>
            <w:gridSpan w:val="5"/>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具备厂家维修资质认证证书且同时具备辐射安全与防护培训证书</w:t>
            </w:r>
          </w:p>
        </w:tc>
        <w:tc>
          <w:tcPr>
            <w:tcW w:w="78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r>
      <w:tr>
        <w:tblPrEx>
          <w:tblLayout w:type="fixed"/>
          <w:tblCellMar>
            <w:top w:w="0" w:type="dxa"/>
            <w:left w:w="0" w:type="dxa"/>
            <w:bottom w:w="0" w:type="dxa"/>
            <w:right w:w="0" w:type="dxa"/>
          </w:tblCellMar>
        </w:tblPrEx>
        <w:trPr>
          <w:trHeight w:val="450" w:hRule="atLeast"/>
          <w:jc w:val="center"/>
        </w:trPr>
        <w:tc>
          <w:tcPr>
            <w:tcW w:w="1069"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黑体" w:hAnsi="宋体" w:eastAsia="黑体" w:cs="黑体"/>
                <w:i w:val="0"/>
                <w:color w:val="000000"/>
                <w:sz w:val="24"/>
                <w:szCs w:val="24"/>
                <w:u w:val="none"/>
              </w:rPr>
            </w:pPr>
          </w:p>
        </w:tc>
        <w:tc>
          <w:tcPr>
            <w:tcW w:w="89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2</w:t>
            </w:r>
          </w:p>
        </w:tc>
        <w:tc>
          <w:tcPr>
            <w:tcW w:w="1199"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6436" w:type="dxa"/>
            <w:gridSpan w:val="5"/>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具备参与同级别加速器设备维保项目，并提供相关证明资料</w:t>
            </w:r>
          </w:p>
        </w:tc>
        <w:tc>
          <w:tcPr>
            <w:tcW w:w="78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r>
      <w:tr>
        <w:tblPrEx>
          <w:tblLayout w:type="fixed"/>
          <w:tblCellMar>
            <w:top w:w="0" w:type="dxa"/>
            <w:left w:w="0" w:type="dxa"/>
            <w:bottom w:w="0" w:type="dxa"/>
            <w:right w:w="0" w:type="dxa"/>
          </w:tblCellMar>
        </w:tblPrEx>
        <w:trPr>
          <w:trHeight w:val="660" w:hRule="atLeast"/>
          <w:jc w:val="center"/>
        </w:trPr>
        <w:tc>
          <w:tcPr>
            <w:tcW w:w="1069"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黑体" w:hAnsi="宋体" w:eastAsia="黑体" w:cs="黑体"/>
                <w:i w:val="0"/>
                <w:color w:val="000000"/>
                <w:sz w:val="24"/>
                <w:szCs w:val="24"/>
                <w:u w:val="none"/>
              </w:rPr>
            </w:pPr>
          </w:p>
        </w:tc>
        <w:tc>
          <w:tcPr>
            <w:tcW w:w="89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3</w:t>
            </w:r>
          </w:p>
        </w:tc>
        <w:tc>
          <w:tcPr>
            <w:tcW w:w="1199"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团队其他人员</w:t>
            </w:r>
            <w:r>
              <w:rPr>
                <w:rFonts w:hint="eastAsia" w:ascii="宋体" w:hAnsi="宋体" w:eastAsia="宋体" w:cs="宋体"/>
                <w:i w:val="0"/>
                <w:color w:val="000000"/>
                <w:kern w:val="0"/>
                <w:sz w:val="24"/>
                <w:szCs w:val="24"/>
                <w:u w:val="none"/>
                <w:bdr w:val="none" w:color="auto" w:sz="0" w:space="0"/>
                <w:lang w:val="en-US" w:eastAsia="zh-CN" w:bidi="ar"/>
              </w:rPr>
              <w:br w:type="textWrapping"/>
            </w:r>
            <w:r>
              <w:rPr>
                <w:rFonts w:hint="eastAsia" w:ascii="宋体" w:hAnsi="宋体" w:eastAsia="宋体" w:cs="宋体"/>
                <w:i w:val="0"/>
                <w:color w:val="000000"/>
                <w:kern w:val="0"/>
                <w:sz w:val="24"/>
                <w:szCs w:val="24"/>
                <w:u w:val="none"/>
                <w:bdr w:val="none" w:color="auto" w:sz="0" w:space="0"/>
                <w:lang w:val="en-US" w:eastAsia="zh-CN" w:bidi="ar"/>
              </w:rPr>
              <w:t>具备资质</w:t>
            </w:r>
          </w:p>
        </w:tc>
        <w:tc>
          <w:tcPr>
            <w:tcW w:w="6436" w:type="dxa"/>
            <w:gridSpan w:val="5"/>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具备同型号设备的维修维保经验工程师≥2名，并提供工程师的人员名单及维修技术能力证明材料。</w:t>
            </w:r>
          </w:p>
        </w:tc>
        <w:tc>
          <w:tcPr>
            <w:tcW w:w="78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r>
      <w:tr>
        <w:tblPrEx>
          <w:tblLayout w:type="fixed"/>
          <w:tblCellMar>
            <w:top w:w="0" w:type="dxa"/>
            <w:left w:w="0" w:type="dxa"/>
            <w:bottom w:w="0" w:type="dxa"/>
            <w:right w:w="0" w:type="dxa"/>
          </w:tblCellMar>
        </w:tblPrEx>
        <w:trPr>
          <w:trHeight w:val="615" w:hRule="atLeast"/>
          <w:jc w:val="center"/>
        </w:trPr>
        <w:tc>
          <w:tcPr>
            <w:tcW w:w="1069"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黑体" w:hAnsi="宋体" w:eastAsia="黑体" w:cs="黑体"/>
                <w:i w:val="0"/>
                <w:color w:val="000000"/>
                <w:sz w:val="24"/>
                <w:szCs w:val="24"/>
                <w:u w:val="none"/>
              </w:rPr>
            </w:pPr>
          </w:p>
        </w:tc>
        <w:tc>
          <w:tcPr>
            <w:tcW w:w="89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4</w:t>
            </w:r>
          </w:p>
        </w:tc>
        <w:tc>
          <w:tcPr>
            <w:tcW w:w="1199"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6436" w:type="dxa"/>
            <w:gridSpan w:val="5"/>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具备设备软件维修能力、放疗网络维修能力，提供1-2人员的MOSAIQ培训证书核查</w:t>
            </w:r>
          </w:p>
        </w:tc>
        <w:tc>
          <w:tcPr>
            <w:tcW w:w="78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r>
      <w:tr>
        <w:tblPrEx>
          <w:tblLayout w:type="fixed"/>
          <w:tblCellMar>
            <w:top w:w="0" w:type="dxa"/>
            <w:left w:w="0" w:type="dxa"/>
            <w:bottom w:w="0" w:type="dxa"/>
            <w:right w:w="0" w:type="dxa"/>
          </w:tblCellMar>
        </w:tblPrEx>
        <w:trPr>
          <w:trHeight w:val="1425" w:hRule="atLeast"/>
          <w:jc w:val="center"/>
        </w:trPr>
        <w:tc>
          <w:tcPr>
            <w:tcW w:w="1069"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黑体" w:hAnsi="宋体" w:eastAsia="黑体" w:cs="黑体"/>
                <w:i w:val="0"/>
                <w:color w:val="000000"/>
                <w:sz w:val="24"/>
                <w:szCs w:val="24"/>
                <w:u w:val="none"/>
              </w:rPr>
            </w:pPr>
          </w:p>
        </w:tc>
        <w:tc>
          <w:tcPr>
            <w:tcW w:w="89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5</w:t>
            </w:r>
          </w:p>
        </w:tc>
        <w:tc>
          <w:tcPr>
            <w:tcW w:w="1199"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服务方案</w:t>
            </w:r>
          </w:p>
        </w:tc>
        <w:tc>
          <w:tcPr>
            <w:tcW w:w="6436" w:type="dxa"/>
            <w:gridSpan w:val="5"/>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1.每年提供≥4次维护保养服务并提供保养详细内容</w:t>
            </w:r>
            <w:r>
              <w:rPr>
                <w:rFonts w:hint="eastAsia" w:ascii="宋体" w:hAnsi="宋体" w:eastAsia="宋体" w:cs="宋体"/>
                <w:i w:val="0"/>
                <w:color w:val="000000"/>
                <w:kern w:val="0"/>
                <w:sz w:val="20"/>
                <w:szCs w:val="20"/>
                <w:u w:val="none"/>
                <w:bdr w:val="none" w:color="auto" w:sz="0" w:space="0"/>
                <w:lang w:val="en-US" w:eastAsia="zh-CN" w:bidi="ar"/>
              </w:rPr>
              <w:br w:type="textWrapping"/>
            </w:r>
            <w:r>
              <w:rPr>
                <w:rFonts w:hint="eastAsia" w:ascii="宋体" w:hAnsi="宋体" w:eastAsia="宋体" w:cs="宋体"/>
                <w:i w:val="0"/>
                <w:color w:val="000000"/>
                <w:kern w:val="0"/>
                <w:sz w:val="20"/>
                <w:szCs w:val="20"/>
                <w:u w:val="none"/>
                <w:bdr w:val="none" w:color="auto" w:sz="0" w:space="0"/>
                <w:lang w:val="en-US" w:eastAsia="zh-CN" w:bidi="ar"/>
              </w:rPr>
              <w:t>2.提供加速器不间断的安全性或功能性完善更新FCO服务能力</w:t>
            </w:r>
            <w:r>
              <w:rPr>
                <w:rFonts w:hint="eastAsia" w:ascii="宋体" w:hAnsi="宋体" w:eastAsia="宋体" w:cs="宋体"/>
                <w:i w:val="0"/>
                <w:color w:val="000000"/>
                <w:kern w:val="0"/>
                <w:sz w:val="20"/>
                <w:szCs w:val="20"/>
                <w:u w:val="none"/>
                <w:bdr w:val="none" w:color="auto" w:sz="0" w:space="0"/>
                <w:lang w:val="en-US" w:eastAsia="zh-CN" w:bidi="ar"/>
              </w:rPr>
              <w:br w:type="textWrapping"/>
            </w:r>
            <w:r>
              <w:rPr>
                <w:rFonts w:hint="eastAsia" w:ascii="宋体" w:hAnsi="宋体" w:eastAsia="宋体" w:cs="宋体"/>
                <w:i w:val="0"/>
                <w:color w:val="000000"/>
                <w:kern w:val="0"/>
                <w:sz w:val="20"/>
                <w:szCs w:val="20"/>
                <w:u w:val="none"/>
                <w:bdr w:val="none" w:color="auto" w:sz="0" w:space="0"/>
                <w:lang w:val="en-US" w:eastAsia="zh-CN" w:bidi="ar"/>
              </w:rPr>
              <w:t>3.每次维保任务完成后，乙方应及时提供工单复写联留存甲方，并需甲方使用人员和维保工程师的签字确认。</w:t>
            </w:r>
            <w:r>
              <w:rPr>
                <w:rFonts w:hint="eastAsia" w:ascii="宋体" w:hAnsi="宋体" w:eastAsia="宋体" w:cs="宋体"/>
                <w:i w:val="0"/>
                <w:color w:val="000000"/>
                <w:kern w:val="0"/>
                <w:sz w:val="20"/>
                <w:szCs w:val="20"/>
                <w:u w:val="none"/>
                <w:bdr w:val="none" w:color="auto" w:sz="0" w:space="0"/>
                <w:lang w:val="en-US" w:eastAsia="zh-CN" w:bidi="ar"/>
              </w:rPr>
              <w:br w:type="textWrapping"/>
            </w:r>
            <w:r>
              <w:rPr>
                <w:rFonts w:hint="eastAsia" w:ascii="宋体" w:hAnsi="宋体" w:eastAsia="宋体" w:cs="宋体"/>
                <w:i w:val="0"/>
                <w:color w:val="000000"/>
                <w:kern w:val="0"/>
                <w:sz w:val="20"/>
                <w:szCs w:val="20"/>
                <w:u w:val="none"/>
                <w:bdr w:val="none" w:color="auto" w:sz="0" w:space="0"/>
                <w:lang w:val="en-US" w:eastAsia="zh-CN" w:bidi="ar"/>
              </w:rPr>
              <w:t>*4.具备故障报修专线电话，响应时间≤1小时。</w:t>
            </w:r>
          </w:p>
        </w:tc>
        <w:tc>
          <w:tcPr>
            <w:tcW w:w="78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r>
      <w:tr>
        <w:tblPrEx>
          <w:tblLayout w:type="fixed"/>
          <w:tblCellMar>
            <w:top w:w="0" w:type="dxa"/>
            <w:left w:w="0" w:type="dxa"/>
            <w:bottom w:w="0" w:type="dxa"/>
            <w:right w:w="0" w:type="dxa"/>
          </w:tblCellMar>
        </w:tblPrEx>
        <w:trPr>
          <w:trHeight w:val="870" w:hRule="atLeast"/>
          <w:jc w:val="center"/>
        </w:trPr>
        <w:tc>
          <w:tcPr>
            <w:tcW w:w="1069"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黑体" w:hAnsi="宋体" w:eastAsia="黑体" w:cs="黑体"/>
                <w:i w:val="0"/>
                <w:color w:val="000000"/>
                <w:sz w:val="24"/>
                <w:szCs w:val="24"/>
                <w:u w:val="none"/>
              </w:rPr>
            </w:pPr>
          </w:p>
        </w:tc>
        <w:tc>
          <w:tcPr>
            <w:tcW w:w="89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6</w:t>
            </w:r>
          </w:p>
        </w:tc>
        <w:tc>
          <w:tcPr>
            <w:tcW w:w="1199"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6436" w:type="dxa"/>
            <w:gridSpan w:val="5"/>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培训学习：须有成熟的培训课程，定期发布Monaca临床应用学习班、MOSAIQ临床应用学习班，每年提供1-2名人员学习机会，以满足科室日益成长的学习需求。</w:t>
            </w:r>
          </w:p>
        </w:tc>
        <w:tc>
          <w:tcPr>
            <w:tcW w:w="78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r>
      <w:tr>
        <w:tblPrEx>
          <w:tblLayout w:type="fixed"/>
          <w:tblCellMar>
            <w:top w:w="0" w:type="dxa"/>
            <w:left w:w="0" w:type="dxa"/>
            <w:bottom w:w="0" w:type="dxa"/>
            <w:right w:w="0" w:type="dxa"/>
          </w:tblCellMar>
        </w:tblPrEx>
        <w:trPr>
          <w:trHeight w:val="1650" w:hRule="atLeast"/>
          <w:jc w:val="center"/>
        </w:trPr>
        <w:tc>
          <w:tcPr>
            <w:tcW w:w="1069"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黑体" w:hAnsi="宋体" w:eastAsia="黑体" w:cs="黑体"/>
                <w:i w:val="0"/>
                <w:color w:val="000000"/>
                <w:sz w:val="24"/>
                <w:szCs w:val="24"/>
                <w:u w:val="none"/>
              </w:rPr>
            </w:pPr>
          </w:p>
        </w:tc>
        <w:tc>
          <w:tcPr>
            <w:tcW w:w="89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•7</w:t>
            </w:r>
          </w:p>
        </w:tc>
        <w:tc>
          <w:tcPr>
            <w:tcW w:w="119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质量控制</w:t>
            </w:r>
          </w:p>
        </w:tc>
        <w:tc>
          <w:tcPr>
            <w:tcW w:w="6436" w:type="dxa"/>
            <w:gridSpan w:val="5"/>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1.零备件供应：所有设备零配件来源必须是合法途径，所有更换的零部件必须为原厂全新零备件。离子泵、电离室、磁控管、EPID非晶硅板等关键部件须提供合法进口报关证明资料。</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2.提供工具仪器的校准文件</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3.设备维修或保养后，质控结果须符合生产厂家标准或相应的国家质量标准的要求。</w:t>
            </w:r>
          </w:p>
        </w:tc>
        <w:tc>
          <w:tcPr>
            <w:tcW w:w="78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r>
      <w:tr>
        <w:tblPrEx>
          <w:tblLayout w:type="fixed"/>
          <w:tblCellMar>
            <w:top w:w="0" w:type="dxa"/>
            <w:left w:w="0" w:type="dxa"/>
            <w:bottom w:w="0" w:type="dxa"/>
            <w:right w:w="0" w:type="dxa"/>
          </w:tblCellMar>
        </w:tblPrEx>
        <w:trPr>
          <w:trHeight w:val="840" w:hRule="atLeast"/>
          <w:jc w:val="center"/>
        </w:trPr>
        <w:tc>
          <w:tcPr>
            <w:tcW w:w="1069"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黑体" w:hAnsi="宋体" w:eastAsia="黑体" w:cs="黑体"/>
                <w:i w:val="0"/>
                <w:color w:val="000000"/>
                <w:sz w:val="24"/>
                <w:szCs w:val="24"/>
                <w:u w:val="none"/>
              </w:rPr>
            </w:pPr>
          </w:p>
        </w:tc>
        <w:tc>
          <w:tcPr>
            <w:tcW w:w="89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lang w:val="en-US" w:eastAsia="zh-CN"/>
              </w:rPr>
              <w:t>8</w:t>
            </w:r>
          </w:p>
        </w:tc>
        <w:tc>
          <w:tcPr>
            <w:tcW w:w="119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lang w:val="en-US" w:eastAsia="zh-CN"/>
              </w:rPr>
              <w:t>验收考核办法</w:t>
            </w:r>
          </w:p>
        </w:tc>
        <w:tc>
          <w:tcPr>
            <w:tcW w:w="6436" w:type="dxa"/>
            <w:gridSpan w:val="5"/>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保证设备全年开机率≥95%，按一年365天计算，即全年累计停机时间≤18天。若超出上述承诺停机天数，超出一天顺延5天保修。</w:t>
            </w:r>
          </w:p>
        </w:tc>
        <w:tc>
          <w:tcPr>
            <w:tcW w:w="78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r>
      <w:tr>
        <w:tblPrEx>
          <w:tblLayout w:type="fixed"/>
          <w:tblCellMar>
            <w:top w:w="0" w:type="dxa"/>
            <w:left w:w="0" w:type="dxa"/>
            <w:bottom w:w="0" w:type="dxa"/>
            <w:right w:w="0" w:type="dxa"/>
          </w:tblCellMar>
        </w:tblPrEx>
        <w:trPr>
          <w:trHeight w:val="510" w:hRule="atLeast"/>
          <w:jc w:val="center"/>
        </w:trPr>
        <w:tc>
          <w:tcPr>
            <w:tcW w:w="1069"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tc>
        <w:tc>
          <w:tcPr>
            <w:tcW w:w="89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9</w:t>
            </w:r>
          </w:p>
        </w:tc>
        <w:tc>
          <w:tcPr>
            <w:tcW w:w="119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服务续期期限</w:t>
            </w:r>
          </w:p>
        </w:tc>
        <w:tc>
          <w:tcPr>
            <w:tcW w:w="6436" w:type="dxa"/>
            <w:gridSpan w:val="5"/>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三年</w:t>
            </w:r>
          </w:p>
        </w:tc>
        <w:tc>
          <w:tcPr>
            <w:tcW w:w="78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tc>
      </w:tr>
      <w:tr>
        <w:tblPrEx>
          <w:tblLayout w:type="fixed"/>
          <w:tblCellMar>
            <w:top w:w="0" w:type="dxa"/>
            <w:left w:w="0" w:type="dxa"/>
            <w:bottom w:w="0" w:type="dxa"/>
            <w:right w:w="0" w:type="dxa"/>
          </w:tblCellMar>
        </w:tblPrEx>
        <w:trPr>
          <w:trHeight w:val="1046" w:hRule="atLeast"/>
          <w:jc w:val="center"/>
        </w:trPr>
        <w:tc>
          <w:tcPr>
            <w:tcW w:w="10388" w:type="dxa"/>
            <w:gridSpan w:val="9"/>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说明：1.加注“*”号的技术指标为关键指标，≥1项未达到招标文件要求，即做废标处理</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 xml:space="preserve">      2.加注“·”号的技术指标为重要指标</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 xml:space="preserve">      3.加注“*”、“·”号的技术指标均需投标企业提供证明材料</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Tahoma">
    <w:panose1 w:val="020B0604030504040204"/>
    <w:charset w:val="00"/>
    <w:family w:val="auto"/>
    <w:pitch w:val="default"/>
    <w:sig w:usb0="61007A87" w:usb1="80000000" w:usb2="00000008" w:usb3="00000000" w:csb0="200101FF" w:csb1="20280000"/>
  </w:font>
  <w:font w:name="方正小标宋简体">
    <w:altName w:val="宋体-方正超大字符集"/>
    <w:panose1 w:val="00000000000000000000"/>
    <w:charset w:val="00"/>
    <w:family w:val="auto"/>
    <w:pitch w:val="default"/>
    <w:sig w:usb0="00000000" w:usb1="00000000" w:usb2="00000000" w:usb3="00000000" w:csb0="00000000" w:csb1="00000000"/>
  </w:font>
  <w:font w:name="宋体-方正超大字符集">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BC76A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 w:type="character" w:customStyle="1" w:styleId="4">
    <w:name w:val="font81"/>
    <w:basedOn w:val="3"/>
    <w:uiPriority w:val="0"/>
    <w:rPr>
      <w:rFonts w:hint="eastAsia" w:ascii="黑体" w:eastAsia="黑体" w:cs="黑体"/>
      <w:color w:val="000000"/>
      <w:sz w:val="24"/>
      <w:szCs w:val="24"/>
      <w:u w:val="none"/>
    </w:rPr>
  </w:style>
  <w:style w:type="character" w:customStyle="1" w:styleId="5">
    <w:name w:val="font191"/>
    <w:basedOn w:val="3"/>
    <w:uiPriority w:val="0"/>
    <w:rPr>
      <w:rFonts w:ascii="楷体_GB2312" w:eastAsia="楷体_GB2312" w:cs="楷体_GB2312"/>
      <w:color w:val="000000"/>
      <w:sz w:val="24"/>
      <w:szCs w:val="24"/>
      <w:u w:val="none"/>
    </w:rPr>
  </w:style>
  <w:style w:type="character" w:customStyle="1" w:styleId="6">
    <w:name w:val="font41"/>
    <w:basedOn w:val="3"/>
    <w:uiPriority w:val="0"/>
    <w:rPr>
      <w:rFonts w:hint="eastAsia" w:ascii="宋体" w:hAnsi="宋体" w:eastAsia="宋体" w:cs="宋体"/>
      <w:color w:val="000000"/>
      <w:sz w:val="24"/>
      <w:szCs w:val="24"/>
      <w:u w:val="none"/>
    </w:rPr>
  </w:style>
  <w:style w:type="character" w:customStyle="1" w:styleId="7">
    <w:name w:val="font12"/>
    <w:basedOn w:val="3"/>
    <w:uiPriority w:val="0"/>
    <w:rPr>
      <w:rFonts w:hint="eastAsia" w:ascii="宋体" w:hAnsi="宋体" w:eastAsia="宋体" w:cs="宋体"/>
      <w:color w:val="000000"/>
      <w:sz w:val="24"/>
      <w:szCs w:val="24"/>
      <w:u w:val="none"/>
    </w:rPr>
  </w:style>
  <w:style w:type="character" w:customStyle="1" w:styleId="8">
    <w:name w:val="font31"/>
    <w:basedOn w:val="3"/>
    <w:uiPriority w:val="0"/>
    <w:rPr>
      <w:rFonts w:hint="eastAsia" w:ascii="宋体" w:hAnsi="宋体" w:eastAsia="宋体" w:cs="宋体"/>
      <w:color w:val="000000"/>
      <w:sz w:val="40"/>
      <w:szCs w:val="4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Office_11.3.0.8775_F1E327BC-269C-435d-A152-05C5408002CA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2023-04-04T00:40:37Z</dcterms:created>
  <dc:creator>doctor</dc:creator>
  <cp:lastModifiedBy>doctor</cp:lastModifiedBy>
  <dcterms:modified xsi:type="dcterms:W3CDTF">2023-04-04T00:43:57Z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