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481" w:type="dxa"/>
        <w:jc w:val="center"/>
        <w:tblInd w:w="-1483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7"/>
        <w:gridCol w:w="689"/>
        <w:gridCol w:w="1357"/>
        <w:gridCol w:w="1184"/>
        <w:gridCol w:w="1475"/>
        <w:gridCol w:w="1307"/>
        <w:gridCol w:w="847"/>
        <w:gridCol w:w="1432"/>
        <w:gridCol w:w="288"/>
        <w:gridCol w:w="675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048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技术需求表（服务类）</w:t>
            </w:r>
          </w:p>
        </w:tc>
      </w:tr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2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内窥镜手术器械控制系统维保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单价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120/年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数量（项）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3年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预算总金额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9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需求类别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需求名称</w:t>
            </w:r>
          </w:p>
        </w:tc>
        <w:tc>
          <w:tcPr>
            <w:tcW w:w="65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技术参数和需求内容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0" w:hRule="atLeast"/>
          <w:jc w:val="center"/>
        </w:trPr>
        <w:tc>
          <w:tcPr>
            <w:tcW w:w="12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Ansi="宋体"/>
                <w:bdr w:val="none" w:color="auto" w:sz="0" w:space="0"/>
                <w:lang w:val="en-US" w:eastAsia="zh-CN" w:bidi="ar"/>
              </w:rPr>
              <w:t>符合性要求</w:t>
            </w:r>
            <w:r>
              <w:rPr>
                <w:rStyle w:val="5"/>
                <w:rFonts w:hAnsi="宋体"/>
                <w:bdr w:val="none" w:color="auto" w:sz="0" w:space="0"/>
                <w:lang w:val="en-US" w:eastAsia="zh-CN" w:bidi="ar"/>
              </w:rPr>
              <w:t>（*号指标或其他必须响应条款）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*1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服务要求</w:t>
            </w:r>
          </w:p>
        </w:tc>
        <w:tc>
          <w:tcPr>
            <w:tcW w:w="65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投标人负责内窥镜手术器械控制系统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3号间，序列号SH2448 整机全保服务维保期内，设备进行维修，保养和更换配件，承担配件、劳务和差旅等费用，不再收取合同款外的其他费用。除了Camera Head, Camera Head Cable, 以及Light Guide Cable 以外，《Instrument &amp; Accessory Catalog-器械和附件目录》列出的器械 附件均不属维修备件，甲方需另行通过销售渠道购买。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12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其他符合性条款</w:t>
            </w:r>
          </w:p>
        </w:tc>
        <w:tc>
          <w:tcPr>
            <w:tcW w:w="65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8" w:hRule="atLeast"/>
          <w:jc w:val="center"/>
        </w:trPr>
        <w:tc>
          <w:tcPr>
            <w:tcW w:w="12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Ansi="宋体"/>
                <w:bdr w:val="none" w:color="auto" w:sz="0" w:space="0"/>
                <w:lang w:val="en-US" w:eastAsia="zh-CN" w:bidi="ar"/>
              </w:rPr>
              <w:t>资格性要求</w:t>
            </w:r>
            <w:r>
              <w:rPr>
                <w:rStyle w:val="5"/>
                <w:rFonts w:hAnsi="宋体"/>
                <w:bdr w:val="none" w:color="auto" w:sz="0" w:space="0"/>
                <w:lang w:val="en-US" w:eastAsia="zh-CN" w:bidi="ar"/>
              </w:rPr>
              <w:t>（指对产品或企业投标资格的要求）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人员资格</w:t>
            </w:r>
          </w:p>
        </w:tc>
        <w:tc>
          <w:tcPr>
            <w:tcW w:w="65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投标人及授权维保企业在国内拥有专业的技术支持团队≥3人，且具备其中至少1名＞5年的投标人公司连续服务年限，并提供人员姓名及行业培训考核合格授权资质证明。可以满足远程技术支持。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  <w:jc w:val="center"/>
        </w:trPr>
        <w:tc>
          <w:tcPr>
            <w:tcW w:w="12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企业资格</w:t>
            </w:r>
          </w:p>
        </w:tc>
        <w:tc>
          <w:tcPr>
            <w:tcW w:w="65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维保企业须具有医疗设备维修企业资格(即营业执照的经营范围包括医疗器械维修)，并在过去五年内无重大维修事故及法律纠纷发生，并提供文件证明材料。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  <w:jc w:val="center"/>
        </w:trPr>
        <w:tc>
          <w:tcPr>
            <w:tcW w:w="12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其他资格性条款</w:t>
            </w:r>
          </w:p>
        </w:tc>
        <w:tc>
          <w:tcPr>
            <w:tcW w:w="65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投标人应在国内设有专业、充足的设备零备件仓库，在服务期内保证所保设备备件的供应，提供备件的更换，并优先提供备件的发货，提供备件库的租赁合同。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  <w:jc w:val="center"/>
        </w:trPr>
        <w:tc>
          <w:tcPr>
            <w:tcW w:w="12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技术性要求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•1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项目经理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具备资质</w:t>
            </w:r>
          </w:p>
        </w:tc>
        <w:tc>
          <w:tcPr>
            <w:tcW w:w="65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投标人具备同型号内窥镜手术器械控制系统的维保经验，用户≥1家，并提供书面证明材料。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9" w:hRule="atLeast"/>
          <w:jc w:val="center"/>
        </w:trPr>
        <w:tc>
          <w:tcPr>
            <w:tcW w:w="12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•2</w:t>
            </w:r>
          </w:p>
        </w:tc>
        <w:tc>
          <w:tcPr>
            <w:tcW w:w="13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团队其他人员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具备资质</w:t>
            </w:r>
          </w:p>
        </w:tc>
        <w:tc>
          <w:tcPr>
            <w:tcW w:w="65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投标人应在北京市内设有长期稳定的服务机构≥2年，配备原厂培训合格的全职专业维修工程师≥4名。并提供有效期内资质证明文件。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8" w:hRule="atLeast"/>
          <w:jc w:val="center"/>
        </w:trPr>
        <w:tc>
          <w:tcPr>
            <w:tcW w:w="12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供应商须具备客户服务专线电话，全年365天开通，每天24小时开通服务时间，配有在线和远程技术支持。当所保设备出现故障时，供应商按照合同约定时间响应，及时派遣工程师进行电话指导或赴现场维修。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9" w:hRule="atLeast"/>
          <w:jc w:val="center"/>
        </w:trPr>
        <w:tc>
          <w:tcPr>
            <w:tcW w:w="12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•4</w:t>
            </w:r>
          </w:p>
        </w:tc>
        <w:tc>
          <w:tcPr>
            <w:tcW w:w="13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服务方案</w:t>
            </w:r>
          </w:p>
        </w:tc>
        <w:tc>
          <w:tcPr>
            <w:tcW w:w="65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每年至少提供4次保养服务，包括设备安全检查、影像质量检查、设备除尘保养、运行状态检查、更换易损耗件等，每季度向院方提供书面保养报告。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8" w:hRule="atLeast"/>
          <w:jc w:val="center"/>
        </w:trPr>
        <w:tc>
          <w:tcPr>
            <w:tcW w:w="12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响应时间：≤2小时，工程师到场时间：≤24小时内。更换配件到货安装时间如下：1.国内库房常规配件：≤36小时；2.国外库房：≤7天内到货。 3.如遇全球缺货或特殊情况，双方协商供货周期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5" w:hRule="atLeast"/>
          <w:jc w:val="center"/>
        </w:trPr>
        <w:tc>
          <w:tcPr>
            <w:tcW w:w="12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3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质量控制</w:t>
            </w:r>
          </w:p>
        </w:tc>
        <w:tc>
          <w:tcPr>
            <w:tcW w:w="65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由于供应商的维修、保养、操作等原因给设备和人员带来伤害，所造成的经济损失和法律责任由投标人全部承担。赔偿最高金额不超过合同签署时双方约定的设备当期服务合同价款。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  <w:jc w:val="center"/>
        </w:trPr>
        <w:tc>
          <w:tcPr>
            <w:tcW w:w="12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•7</w:t>
            </w:r>
          </w:p>
        </w:tc>
        <w:tc>
          <w:tcPr>
            <w:tcW w:w="13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所更换的备件必须是原厂检验合格的零备件，提供生产制造厂家关于维保售后服务的授权或技术合作协议,或提供核心配件的正规渠道采购记录。 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9" w:hRule="atLeast"/>
          <w:jc w:val="center"/>
        </w:trPr>
        <w:tc>
          <w:tcPr>
            <w:tcW w:w="12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验收考核办法</w:t>
            </w:r>
          </w:p>
        </w:tc>
        <w:tc>
          <w:tcPr>
            <w:tcW w:w="65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1.投标人保证设备全年开机率≥95%，按一年365天计算，即全年累计停机时间≤18天。若超出上述承诺停机天数，超出一天顺延5天保修。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2.每次维保任务完成后，维保工程师应及时提供工单复写联留存医工部门，并需使用科室和院方维保工程师的签字确认。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3.服务提供商应按年提供维保明细报告，更换的零配件应包含单次维修报价。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服务续期期限</w:t>
            </w:r>
          </w:p>
        </w:tc>
        <w:tc>
          <w:tcPr>
            <w:tcW w:w="65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三年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8" w:hRule="atLeast"/>
          <w:jc w:val="center"/>
        </w:trPr>
        <w:tc>
          <w:tcPr>
            <w:tcW w:w="1048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说明：1.加注“*”号的技术指标为关键指标，≥1项未达到招标文件要求，即做废标处理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2.加注“·”号的技术指标为重要指标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3.加注“*”、“·”号的技术指标均需投标企业提供证明材料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方正小标宋简体">
    <w:altName w:val="宋体-方正超大字符集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0A4532"/>
    <w:rsid w:val="3DD71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71"/>
    <w:basedOn w:val="3"/>
    <w:uiPriority w:val="0"/>
    <w:rPr>
      <w:rFonts w:hint="eastAsia" w:ascii="黑体" w:eastAsia="黑体" w:cs="黑体"/>
      <w:color w:val="000000"/>
      <w:sz w:val="24"/>
      <w:szCs w:val="24"/>
      <w:u w:val="none"/>
    </w:rPr>
  </w:style>
  <w:style w:type="character" w:customStyle="1" w:styleId="5">
    <w:name w:val="font161"/>
    <w:basedOn w:val="3"/>
    <w:uiPriority w:val="0"/>
    <w:rPr>
      <w:rFonts w:ascii="楷体_GB2312" w:eastAsia="楷体_GB2312" w:cs="楷体_GB2312"/>
      <w:color w:val="000000"/>
      <w:sz w:val="24"/>
      <w:szCs w:val="24"/>
      <w:u w:val="none"/>
    </w:rPr>
  </w:style>
  <w:style w:type="character" w:customStyle="1" w:styleId="6">
    <w:name w:val="font01"/>
    <w:basedOn w:val="3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7">
    <w:name w:val="font41"/>
    <w:basedOn w:val="3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81"/>
    <w:basedOn w:val="3"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2023-04-04T01:56:12Z</dcterms:created>
  <dc:creator>doctor</dc:creator>
  <cp:lastModifiedBy>doctor</cp:lastModifiedBy>
  <dcterms:modified xsi:type="dcterms:W3CDTF">2023-04-04T02:05:38Z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