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384" w:type="dxa"/>
        <w:tblInd w:w="0" w:type="dxa"/>
        <w:tblLayout w:type="fixed"/>
        <w:tblCellMar>
          <w:top w:w="0" w:type="dxa"/>
          <w:left w:w="0" w:type="dxa"/>
          <w:bottom w:w="0" w:type="dxa"/>
          <w:right w:w="0" w:type="dxa"/>
        </w:tblCellMar>
      </w:tblPr>
      <w:tblGrid>
        <w:gridCol w:w="913"/>
        <w:gridCol w:w="133"/>
        <w:gridCol w:w="70"/>
        <w:gridCol w:w="559"/>
        <w:gridCol w:w="1581"/>
        <w:gridCol w:w="162"/>
        <w:gridCol w:w="708"/>
        <w:gridCol w:w="338"/>
        <w:gridCol w:w="711"/>
        <w:gridCol w:w="701"/>
        <w:gridCol w:w="748"/>
        <w:gridCol w:w="620"/>
        <w:gridCol w:w="964"/>
        <w:gridCol w:w="1176"/>
      </w:tblGrid>
      <w:tr>
        <w:tblPrEx>
          <w:tblLayout w:type="fixed"/>
          <w:tblCellMar>
            <w:top w:w="0" w:type="dxa"/>
            <w:left w:w="0" w:type="dxa"/>
            <w:bottom w:w="0" w:type="dxa"/>
            <w:right w:w="0" w:type="dxa"/>
          </w:tblCellMar>
        </w:tblPrEx>
        <w:trPr>
          <w:trHeight w:val="510" w:hRule="atLeast"/>
        </w:trPr>
        <w:tc>
          <w:tcPr>
            <w:tcW w:w="9384" w:type="dxa"/>
            <w:gridSpan w:val="14"/>
            <w:tcBorders>
              <w:top w:val="nil"/>
              <w:left w:val="nil"/>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技术需求表（通用物资）</w:t>
            </w:r>
          </w:p>
        </w:tc>
      </w:tr>
      <w:tr>
        <w:tblPrEx>
          <w:tblLayout w:type="fixed"/>
          <w:tblCellMar>
            <w:top w:w="0" w:type="dxa"/>
            <w:left w:w="0" w:type="dxa"/>
            <w:bottom w:w="0" w:type="dxa"/>
            <w:right w:w="0" w:type="dxa"/>
          </w:tblCellMar>
        </w:tblPrEx>
        <w:trPr>
          <w:trHeight w:val="720" w:hRule="atLeast"/>
        </w:trPr>
        <w:tc>
          <w:tcPr>
            <w:tcW w:w="111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项目名称</w:t>
            </w:r>
          </w:p>
        </w:tc>
        <w:tc>
          <w:tcPr>
            <w:tcW w:w="214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全自动核酸纯化仪</w:t>
            </w:r>
          </w:p>
        </w:tc>
        <w:tc>
          <w:tcPr>
            <w:tcW w:w="87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单价</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（万元）</w:t>
            </w:r>
          </w:p>
        </w:tc>
        <w:tc>
          <w:tcPr>
            <w:tcW w:w="104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40</w:t>
            </w:r>
          </w:p>
        </w:tc>
        <w:tc>
          <w:tcPr>
            <w:tcW w:w="70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数量（项）</w:t>
            </w:r>
          </w:p>
        </w:tc>
        <w:tc>
          <w:tcPr>
            <w:tcW w:w="74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1</w:t>
            </w:r>
          </w:p>
        </w:tc>
        <w:tc>
          <w:tcPr>
            <w:tcW w:w="1584"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预算总金额</w:t>
            </w:r>
            <w:r>
              <w:rPr>
                <w:rFonts w:hint="eastAsia" w:ascii="黑体" w:hAnsi="宋体" w:eastAsia="黑体" w:cs="黑体"/>
                <w:i w:val="0"/>
                <w:color w:val="000000"/>
                <w:kern w:val="0"/>
                <w:sz w:val="20"/>
                <w:szCs w:val="20"/>
                <w:u w:val="none"/>
                <w:lang w:val="en-US" w:eastAsia="zh-CN" w:bidi="ar"/>
              </w:rPr>
              <w:br w:type="textWrapping"/>
            </w:r>
            <w:r>
              <w:rPr>
                <w:rFonts w:hint="eastAsia" w:ascii="黑体" w:hAnsi="宋体" w:eastAsia="黑体" w:cs="黑体"/>
                <w:i w:val="0"/>
                <w:color w:val="000000"/>
                <w:kern w:val="0"/>
                <w:sz w:val="20"/>
                <w:szCs w:val="20"/>
                <w:u w:val="none"/>
                <w:lang w:val="en-US" w:eastAsia="zh-CN" w:bidi="ar"/>
              </w:rPr>
              <w:t>（万元）</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40</w:t>
            </w:r>
          </w:p>
        </w:tc>
      </w:tr>
      <w:tr>
        <w:tblPrEx>
          <w:tblLayout w:type="fixed"/>
          <w:tblCellMar>
            <w:top w:w="0" w:type="dxa"/>
            <w:left w:w="0" w:type="dxa"/>
            <w:bottom w:w="0" w:type="dxa"/>
            <w:right w:w="0" w:type="dxa"/>
          </w:tblCellMar>
        </w:tblPrEx>
        <w:trPr>
          <w:trHeight w:val="477" w:hRule="atLeast"/>
        </w:trPr>
        <w:tc>
          <w:tcPr>
            <w:tcW w:w="1116"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需求类别</w:t>
            </w:r>
          </w:p>
        </w:tc>
        <w:tc>
          <w:tcPr>
            <w:tcW w:w="5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序号</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需求名称</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技术参数和需求内容</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备注</w:t>
            </w:r>
          </w:p>
        </w:tc>
      </w:tr>
      <w:tr>
        <w:tblPrEx>
          <w:tblLayout w:type="fixed"/>
          <w:tblCellMar>
            <w:top w:w="0" w:type="dxa"/>
            <w:left w:w="0" w:type="dxa"/>
            <w:bottom w:w="0" w:type="dxa"/>
            <w:right w:w="0" w:type="dxa"/>
          </w:tblCellMar>
        </w:tblPrEx>
        <w:trPr>
          <w:trHeight w:val="510" w:hRule="atLeast"/>
        </w:trPr>
        <w:tc>
          <w:tcPr>
            <w:tcW w:w="1116"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Style w:val="5"/>
                <w:rFonts w:ascii="宋体" w:hAnsi="宋体" w:eastAsia="宋体" w:cs="宋体"/>
                <w:sz w:val="24"/>
                <w:szCs w:val="24"/>
                <w:lang w:val="en-US" w:eastAsia="zh-CN" w:bidi="ar"/>
              </w:rPr>
              <w:t>符合性要求</w:t>
            </w:r>
            <w:r>
              <w:rPr>
                <w:rStyle w:val="6"/>
                <w:rFonts w:hAnsi="宋体"/>
                <w:lang w:val="en-US" w:eastAsia="zh-CN" w:bidi="ar"/>
              </w:rPr>
              <w:t>（*号指标或其他必须响应条款）</w:t>
            </w:r>
          </w:p>
        </w:tc>
        <w:tc>
          <w:tcPr>
            <w:tcW w:w="559"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基本要求</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全自动分离纯化DNA、RNA和总核酸（PCR级纯度）；</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10" w:hRule="atLeast"/>
        </w:trPr>
        <w:tc>
          <w:tcPr>
            <w:tcW w:w="1116"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59"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配置要求</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1.主机，96孔磁头，机械臂；2.工作站；3.不间断电源 1台；4.扫码枪1个</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683" w:hRule="atLeast"/>
        </w:trPr>
        <w:tc>
          <w:tcPr>
            <w:tcW w:w="1116"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59"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配套耗材（试剂）要求</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0"/>
                <w:szCs w:val="20"/>
                <w:u w:val="none"/>
                <w:lang w:val="en-US" w:eastAsia="zh-CN" w:bidi="ar"/>
              </w:rPr>
              <w:t>有配套一次性耗材（试剂）（封闭）</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10" w:hRule="atLeast"/>
        </w:trPr>
        <w:tc>
          <w:tcPr>
            <w:tcW w:w="1116" w:type="dxa"/>
            <w:gridSpan w:val="3"/>
            <w:vMerge w:val="restart"/>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Style w:val="5"/>
                <w:rFonts w:ascii="宋体" w:hAnsi="宋体" w:eastAsia="宋体" w:cs="宋体"/>
                <w:sz w:val="24"/>
                <w:szCs w:val="24"/>
                <w:lang w:val="en-US" w:eastAsia="zh-CN" w:bidi="ar"/>
              </w:rPr>
              <w:t>资格性要求</w:t>
            </w:r>
            <w:r>
              <w:rPr>
                <w:rStyle w:val="6"/>
                <w:rFonts w:hAnsi="宋体"/>
                <w:lang w:val="en-US" w:eastAsia="zh-CN" w:bidi="ar"/>
              </w:rPr>
              <w:t>（指对产品或企业投标资格的要求）</w:t>
            </w:r>
          </w:p>
        </w:tc>
        <w:tc>
          <w:tcPr>
            <w:tcW w:w="559"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产品资格</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NMPA，FDA认证或CE认证</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10" w:hRule="atLeast"/>
        </w:trPr>
        <w:tc>
          <w:tcPr>
            <w:tcW w:w="1116" w:type="dxa"/>
            <w:gridSpan w:val="3"/>
            <w:vMerge w:val="continue"/>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59" w:type="dxa"/>
            <w:tcBorders>
              <w:top w:val="single" w:color="000000" w:sz="4" w:space="0"/>
              <w:left w:val="single" w:color="000000" w:sz="4" w:space="0"/>
              <w:bottom w:val="nil"/>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企业资格</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hint="eastAsia" w:ascii="仿宋_GB2312" w:hAnsi="宋体" w:eastAsia="仿宋_GB2312" w:cs="仿宋_GB2312"/>
                <w:i w:val="0"/>
                <w:color w:val="000000"/>
                <w:sz w:val="24"/>
                <w:szCs w:val="24"/>
                <w:u w:val="none"/>
              </w:rPr>
            </w:pP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510" w:hRule="atLeast"/>
        </w:trPr>
        <w:tc>
          <w:tcPr>
            <w:tcW w:w="1116"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59"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其他资格性条款</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此设备应达到的基本技术指标、重点技术指标、关键性技术指标（参照国军标要求进行明确）、报警及安全要求、不良事件情况等</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338" w:hRule="atLeast"/>
        </w:trPr>
        <w:tc>
          <w:tcPr>
            <w:tcW w:w="1116" w:type="dxa"/>
            <w:gridSpan w:val="3"/>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0"/>
                <w:szCs w:val="20"/>
                <w:u w:val="none"/>
              </w:rPr>
            </w:pPr>
            <w:r>
              <w:rPr>
                <w:rFonts w:hint="eastAsia" w:ascii="黑体" w:hAnsi="宋体" w:eastAsia="黑体" w:cs="黑体"/>
                <w:i w:val="0"/>
                <w:color w:val="000000"/>
                <w:kern w:val="0"/>
                <w:sz w:val="20"/>
                <w:szCs w:val="20"/>
                <w:u w:val="none"/>
                <w:lang w:val="en-US" w:eastAsia="zh-CN" w:bidi="ar"/>
              </w:rPr>
              <w:t>技术性要求</w:t>
            </w:r>
          </w:p>
        </w:tc>
        <w:tc>
          <w:tcPr>
            <w:tcW w:w="5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技术力量</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8168" w:hRule="atLeast"/>
        </w:trPr>
        <w:tc>
          <w:tcPr>
            <w:tcW w:w="1116"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性能指标</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2.1 </w:t>
            </w:r>
            <w:r>
              <w:rPr>
                <w:rFonts w:hint="eastAsia" w:ascii="宋体" w:hAnsi="宋体" w:eastAsia="宋体" w:cs="宋体"/>
                <w:i w:val="0"/>
                <w:color w:val="000000"/>
                <w:kern w:val="0"/>
                <w:sz w:val="20"/>
                <w:szCs w:val="20"/>
                <w:u w:val="none"/>
                <w:lang w:val="en-US" w:eastAsia="zh-CN" w:bidi="ar"/>
              </w:rPr>
              <w:t>适用样本</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外周血、单核细胞、培养细胞、体液、拭子、粪便、尿液、细菌、真菌、全血、白细胞等</w:t>
            </w:r>
            <w:r>
              <w:rPr>
                <w:rFonts w:hint="default" w:ascii="Times New Roman" w:hAnsi="Times New Roman" w:eastAsia="宋体" w:cs="Times New Roman"/>
                <w:i w:val="0"/>
                <w:color w:val="000000"/>
                <w:kern w:val="0"/>
                <w:sz w:val="20"/>
                <w:szCs w:val="20"/>
                <w:u w:val="none"/>
                <w:lang w:val="en-US" w:eastAsia="zh-CN" w:bidi="ar"/>
              </w:rPr>
              <w:t xml:space="preserve">*2.2 </w:t>
            </w:r>
            <w:r>
              <w:rPr>
                <w:rFonts w:hint="eastAsia" w:ascii="宋体" w:hAnsi="宋体" w:eastAsia="宋体" w:cs="宋体"/>
                <w:i w:val="0"/>
                <w:color w:val="000000"/>
                <w:kern w:val="0"/>
                <w:sz w:val="20"/>
                <w:szCs w:val="20"/>
                <w:u w:val="none"/>
                <w:lang w:val="en-US" w:eastAsia="zh-CN" w:bidi="ar"/>
              </w:rPr>
              <w:t>纯化技术</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磁珠分离法</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•2.3 </w:t>
            </w:r>
            <w:r>
              <w:rPr>
                <w:rFonts w:hint="eastAsia" w:ascii="宋体" w:hAnsi="宋体" w:eastAsia="宋体" w:cs="宋体"/>
                <w:i w:val="0"/>
                <w:color w:val="000000"/>
                <w:kern w:val="0"/>
                <w:sz w:val="20"/>
                <w:szCs w:val="20"/>
                <w:u w:val="none"/>
                <w:lang w:val="en-US" w:eastAsia="zh-CN" w:bidi="ar"/>
              </w:rPr>
              <w:t>纯化位置</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在样本处理架内完成</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2.4 </w:t>
            </w:r>
            <w:r>
              <w:rPr>
                <w:rFonts w:hint="eastAsia" w:ascii="宋体" w:hAnsi="宋体" w:eastAsia="宋体" w:cs="宋体"/>
                <w:i w:val="0"/>
                <w:color w:val="000000"/>
                <w:kern w:val="0"/>
                <w:sz w:val="20"/>
                <w:szCs w:val="20"/>
                <w:u w:val="none"/>
                <w:lang w:val="en-US" w:eastAsia="zh-CN" w:bidi="ar"/>
              </w:rPr>
              <w:t>运行所需准备时间</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手动步骤时间共计</w:t>
            </w:r>
            <w:r>
              <w:rPr>
                <w:rFonts w:hint="default" w:ascii="Times New Roman" w:hAnsi="Times New Roman" w:eastAsia="宋体" w:cs="Times New Roman"/>
                <w:i w:val="0"/>
                <w:color w:val="000000"/>
                <w:kern w:val="0"/>
                <w:sz w:val="20"/>
                <w:szCs w:val="20"/>
                <w:u w:val="none"/>
                <w:lang w:val="en-US" w:eastAsia="zh-CN" w:bidi="ar"/>
              </w:rPr>
              <w:t>&lt; 5</w:t>
            </w:r>
            <w:r>
              <w:rPr>
                <w:rFonts w:hint="eastAsia" w:ascii="宋体" w:hAnsi="宋体" w:eastAsia="宋体" w:cs="宋体"/>
                <w:i w:val="0"/>
                <w:color w:val="000000"/>
                <w:kern w:val="0"/>
                <w:sz w:val="20"/>
                <w:szCs w:val="20"/>
                <w:u w:val="none"/>
                <w:lang w:val="en-US" w:eastAsia="zh-CN" w:bidi="ar"/>
              </w:rPr>
              <w:t>分钟</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2.5 </w:t>
            </w:r>
            <w:r>
              <w:rPr>
                <w:rFonts w:hint="eastAsia" w:ascii="宋体" w:hAnsi="宋体" w:eastAsia="宋体" w:cs="宋体"/>
                <w:i w:val="0"/>
                <w:color w:val="000000"/>
                <w:kern w:val="0"/>
                <w:sz w:val="20"/>
                <w:szCs w:val="20"/>
                <w:u w:val="none"/>
                <w:lang w:val="en-US" w:eastAsia="zh-CN" w:bidi="ar"/>
              </w:rPr>
              <w:t>密闭性</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整个实验过程中无需开盖，无人工手动步骤</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2.6 </w:t>
            </w:r>
            <w:r>
              <w:rPr>
                <w:rFonts w:hint="eastAsia" w:ascii="宋体" w:hAnsi="宋体" w:eastAsia="宋体" w:cs="宋体"/>
                <w:i w:val="0"/>
                <w:color w:val="000000"/>
                <w:kern w:val="0"/>
                <w:sz w:val="20"/>
                <w:szCs w:val="20"/>
                <w:u w:val="none"/>
                <w:lang w:val="en-US" w:eastAsia="zh-CN" w:bidi="ar"/>
              </w:rPr>
              <w:t>产物纯度</w:t>
            </w:r>
            <w:r>
              <w:rPr>
                <w:rFonts w:hint="default" w:ascii="Times New Roman" w:hAnsi="Times New Roman" w:eastAsia="宋体" w:cs="Times New Roman"/>
                <w:i w:val="0"/>
                <w:color w:val="000000"/>
                <w:kern w:val="0"/>
                <w:sz w:val="20"/>
                <w:szCs w:val="20"/>
                <w:u w:val="none"/>
                <w:lang w:val="en-US" w:eastAsia="zh-CN" w:bidi="ar"/>
              </w:rPr>
              <w:t xml:space="preserve"> 200μl</w:t>
            </w:r>
            <w:r>
              <w:rPr>
                <w:rFonts w:hint="eastAsia" w:ascii="宋体" w:hAnsi="宋体" w:eastAsia="宋体" w:cs="宋体"/>
                <w:i w:val="0"/>
                <w:color w:val="000000"/>
                <w:kern w:val="0"/>
                <w:sz w:val="20"/>
                <w:szCs w:val="20"/>
                <w:u w:val="none"/>
                <w:lang w:val="en-US" w:eastAsia="zh-CN" w:bidi="ar"/>
              </w:rPr>
              <w:t>血样组织样本</w:t>
            </w:r>
            <w:r>
              <w:rPr>
                <w:rFonts w:hint="default" w:ascii="Times New Roman" w:hAnsi="Times New Roman" w:eastAsia="宋体" w:cs="Times New Roman"/>
                <w:i w:val="0"/>
                <w:color w:val="000000"/>
                <w:kern w:val="0"/>
                <w:sz w:val="20"/>
                <w:szCs w:val="20"/>
                <w:u w:val="none"/>
                <w:lang w:val="en-US" w:eastAsia="zh-CN" w:bidi="ar"/>
              </w:rPr>
              <w:t>DNA</w:t>
            </w:r>
            <w:r>
              <w:rPr>
                <w:rFonts w:hint="eastAsia" w:ascii="宋体" w:hAnsi="宋体" w:eastAsia="宋体" w:cs="宋体"/>
                <w:i w:val="0"/>
                <w:color w:val="000000"/>
                <w:kern w:val="0"/>
                <w:sz w:val="20"/>
                <w:szCs w:val="20"/>
                <w:u w:val="none"/>
                <w:lang w:val="en-US" w:eastAsia="zh-CN" w:bidi="ar"/>
              </w:rPr>
              <w:t>产量≥</w:t>
            </w:r>
            <w:r>
              <w:rPr>
                <w:rFonts w:hint="default" w:ascii="Times New Roman" w:hAnsi="Times New Roman" w:eastAsia="宋体" w:cs="Times New Roman"/>
                <w:i w:val="0"/>
                <w:color w:val="000000"/>
                <w:kern w:val="0"/>
                <w:sz w:val="20"/>
                <w:szCs w:val="20"/>
                <w:u w:val="none"/>
                <w:lang w:val="en-US" w:eastAsia="zh-CN" w:bidi="ar"/>
              </w:rPr>
              <w:t xml:space="preserve"> 5 μg</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106</w:t>
            </w:r>
            <w:r>
              <w:rPr>
                <w:rFonts w:hint="eastAsia" w:ascii="宋体" w:hAnsi="宋体" w:eastAsia="宋体" w:cs="宋体"/>
                <w:i w:val="0"/>
                <w:color w:val="000000"/>
                <w:kern w:val="0"/>
                <w:sz w:val="20"/>
                <w:szCs w:val="20"/>
                <w:u w:val="none"/>
                <w:lang w:val="en-US" w:eastAsia="zh-CN" w:bidi="ar"/>
              </w:rPr>
              <w:t>培养细胞</w:t>
            </w:r>
            <w:r>
              <w:rPr>
                <w:rFonts w:hint="default" w:ascii="Times New Roman" w:hAnsi="Times New Roman" w:eastAsia="宋体" w:cs="Times New Roman"/>
                <w:i w:val="0"/>
                <w:color w:val="000000"/>
                <w:kern w:val="0"/>
                <w:sz w:val="20"/>
                <w:szCs w:val="20"/>
                <w:u w:val="none"/>
                <w:lang w:val="en-US" w:eastAsia="zh-CN" w:bidi="ar"/>
              </w:rPr>
              <w:t>RNA</w:t>
            </w:r>
            <w:r>
              <w:rPr>
                <w:rFonts w:hint="eastAsia" w:ascii="宋体" w:hAnsi="宋体" w:eastAsia="宋体" w:cs="宋体"/>
                <w:i w:val="0"/>
                <w:color w:val="000000"/>
                <w:kern w:val="0"/>
                <w:sz w:val="20"/>
                <w:szCs w:val="20"/>
                <w:u w:val="none"/>
                <w:lang w:val="en-US" w:eastAsia="zh-CN" w:bidi="ar"/>
              </w:rPr>
              <w:t>产量≥</w:t>
            </w:r>
            <w:r>
              <w:rPr>
                <w:rFonts w:hint="default" w:ascii="Times New Roman" w:hAnsi="Times New Roman" w:eastAsia="宋体" w:cs="Times New Roman"/>
                <w:i w:val="0"/>
                <w:color w:val="000000"/>
                <w:kern w:val="0"/>
                <w:sz w:val="20"/>
                <w:szCs w:val="20"/>
                <w:u w:val="none"/>
                <w:lang w:val="en-US" w:eastAsia="zh-CN" w:bidi="ar"/>
              </w:rPr>
              <w:t>5 μg</w:t>
            </w:r>
            <w:r>
              <w:rPr>
                <w:rFonts w:hint="eastAsia" w:ascii="宋体" w:hAnsi="宋体" w:eastAsia="宋体" w:cs="宋体"/>
                <w:i w:val="0"/>
                <w:color w:val="000000"/>
                <w:kern w:val="0"/>
                <w:sz w:val="20"/>
                <w:szCs w:val="20"/>
                <w:u w:val="none"/>
                <w:lang w:val="en-US" w:eastAsia="zh-CN" w:bidi="ar"/>
              </w:rPr>
              <w:t>，纯度</w:t>
            </w:r>
            <w:r>
              <w:rPr>
                <w:rFonts w:hint="default" w:ascii="Times New Roman" w:hAnsi="Times New Roman" w:eastAsia="宋体" w:cs="Times New Roman"/>
                <w:i w:val="0"/>
                <w:color w:val="000000"/>
                <w:kern w:val="0"/>
                <w:sz w:val="20"/>
                <w:szCs w:val="20"/>
                <w:u w:val="none"/>
                <w:lang w:val="en-US" w:eastAsia="zh-CN" w:bidi="ar"/>
              </w:rPr>
              <w:t>D260/280=1.9±0.1</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•2.7 </w:t>
            </w:r>
            <w:r>
              <w:rPr>
                <w:rFonts w:hint="eastAsia" w:ascii="宋体" w:hAnsi="宋体" w:eastAsia="宋体" w:cs="宋体"/>
                <w:i w:val="0"/>
                <w:color w:val="000000"/>
                <w:kern w:val="0"/>
                <w:sz w:val="20"/>
                <w:szCs w:val="20"/>
                <w:u w:val="none"/>
                <w:lang w:val="en-US" w:eastAsia="zh-CN" w:bidi="ar"/>
              </w:rPr>
              <w:t>最大同时处理样本数量</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96</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•2.8 </w:t>
            </w:r>
            <w:r>
              <w:rPr>
                <w:rFonts w:hint="eastAsia" w:ascii="宋体" w:hAnsi="宋体" w:eastAsia="宋体" w:cs="宋体"/>
                <w:i w:val="0"/>
                <w:color w:val="000000"/>
                <w:kern w:val="0"/>
                <w:sz w:val="20"/>
                <w:szCs w:val="20"/>
                <w:u w:val="none"/>
                <w:lang w:val="en-US" w:eastAsia="zh-CN" w:bidi="ar"/>
              </w:rPr>
              <w:t>单次运行时间</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45</w:t>
            </w:r>
            <w:r>
              <w:rPr>
                <w:rFonts w:hint="eastAsia" w:ascii="宋体" w:hAnsi="宋体" w:eastAsia="宋体" w:cs="宋体"/>
                <w:i w:val="0"/>
                <w:color w:val="000000"/>
                <w:kern w:val="0"/>
                <w:sz w:val="20"/>
                <w:szCs w:val="20"/>
                <w:u w:val="none"/>
                <w:lang w:val="en-US" w:eastAsia="zh-CN" w:bidi="ar"/>
              </w:rPr>
              <w:t>分钟</w:t>
            </w:r>
            <w:r>
              <w:rPr>
                <w:rFonts w:hint="default" w:ascii="Times New Roman" w:hAnsi="Times New Roman" w:eastAsia="宋体" w:cs="Times New Roman"/>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t>每</w:t>
            </w:r>
            <w:r>
              <w:rPr>
                <w:rFonts w:hint="default" w:ascii="Times New Roman" w:hAnsi="Times New Roman" w:eastAsia="宋体" w:cs="Times New Roman"/>
                <w:i w:val="0"/>
                <w:color w:val="000000"/>
                <w:kern w:val="0"/>
                <w:sz w:val="20"/>
                <w:szCs w:val="20"/>
                <w:u w:val="none"/>
                <w:lang w:val="en-US" w:eastAsia="zh-CN" w:bidi="ar"/>
              </w:rPr>
              <w:t>96</w:t>
            </w:r>
            <w:r>
              <w:rPr>
                <w:rFonts w:hint="eastAsia" w:ascii="宋体" w:hAnsi="宋体" w:eastAsia="宋体" w:cs="宋体"/>
                <w:i w:val="0"/>
                <w:color w:val="000000"/>
                <w:kern w:val="0"/>
                <w:sz w:val="20"/>
                <w:szCs w:val="20"/>
                <w:u w:val="none"/>
                <w:lang w:val="en-US" w:eastAsia="zh-CN" w:bidi="ar"/>
              </w:rPr>
              <w:t>个样本</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2.9 </w:t>
            </w:r>
            <w:r>
              <w:rPr>
                <w:rFonts w:hint="eastAsia" w:ascii="宋体" w:hAnsi="宋体" w:eastAsia="宋体" w:cs="宋体"/>
                <w:i w:val="0"/>
                <w:color w:val="000000"/>
                <w:kern w:val="0"/>
                <w:sz w:val="20"/>
                <w:szCs w:val="20"/>
                <w:u w:val="none"/>
                <w:lang w:val="en-US" w:eastAsia="zh-CN" w:bidi="ar"/>
              </w:rPr>
              <w:t>支持同一提取模式下最大样本种类</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10</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•2.10 </w:t>
            </w:r>
            <w:r>
              <w:rPr>
                <w:rFonts w:hint="eastAsia" w:ascii="宋体" w:hAnsi="宋体" w:eastAsia="宋体" w:cs="宋体"/>
                <w:i w:val="0"/>
                <w:color w:val="000000"/>
                <w:kern w:val="0"/>
                <w:sz w:val="20"/>
                <w:szCs w:val="20"/>
                <w:u w:val="none"/>
                <w:lang w:val="en-US" w:eastAsia="zh-CN" w:bidi="ar"/>
              </w:rPr>
              <w:t>移液机械臂</w:t>
            </w:r>
            <w:r>
              <w:rPr>
                <w:rFonts w:hint="default" w:ascii="Times New Roman" w:hAnsi="Times New Roman" w:eastAsia="宋体" w:cs="Times New Roman"/>
                <w:i w:val="0"/>
                <w:color w:val="000000"/>
                <w:kern w:val="0"/>
                <w:sz w:val="20"/>
                <w:szCs w:val="20"/>
                <w:u w:val="none"/>
                <w:lang w:val="en-US" w:eastAsia="zh-CN" w:bidi="ar"/>
              </w:rPr>
              <w:t xml:space="preserve"> 2</w:t>
            </w:r>
            <w:r>
              <w:rPr>
                <w:rFonts w:hint="eastAsia" w:ascii="宋体" w:hAnsi="宋体" w:eastAsia="宋体" w:cs="宋体"/>
                <w:i w:val="0"/>
                <w:color w:val="000000"/>
                <w:kern w:val="0"/>
                <w:sz w:val="20"/>
                <w:szCs w:val="20"/>
                <w:u w:val="none"/>
                <w:lang w:val="en-US" w:eastAsia="zh-CN" w:bidi="ar"/>
              </w:rPr>
              <w:t>个</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2.11 </w:t>
            </w:r>
            <w:r>
              <w:rPr>
                <w:rFonts w:hint="eastAsia" w:ascii="宋体" w:hAnsi="宋体" w:eastAsia="宋体" w:cs="宋体"/>
                <w:i w:val="0"/>
                <w:color w:val="000000"/>
                <w:kern w:val="0"/>
                <w:sz w:val="20"/>
                <w:szCs w:val="20"/>
                <w:u w:val="none"/>
                <w:lang w:val="en-US" w:eastAsia="zh-CN" w:bidi="ar"/>
              </w:rPr>
              <w:t>全自动的机械臂操作</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具备</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•2.12 </w:t>
            </w:r>
            <w:r>
              <w:rPr>
                <w:rFonts w:hint="eastAsia" w:ascii="宋体" w:hAnsi="宋体" w:eastAsia="宋体" w:cs="宋体"/>
                <w:i w:val="0"/>
                <w:color w:val="000000"/>
                <w:kern w:val="0"/>
                <w:sz w:val="20"/>
                <w:szCs w:val="20"/>
                <w:u w:val="none"/>
                <w:lang w:val="en-US" w:eastAsia="zh-CN" w:bidi="ar"/>
              </w:rPr>
              <w:t>移液精控设备</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具备电容感应作用，有液体体积监测功能，从而精密检测枪头良好契合及过程的准确性</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2.13 </w:t>
            </w:r>
            <w:r>
              <w:rPr>
                <w:rFonts w:hint="eastAsia" w:ascii="宋体" w:hAnsi="宋体" w:eastAsia="宋体" w:cs="宋体"/>
                <w:i w:val="0"/>
                <w:color w:val="000000"/>
                <w:kern w:val="0"/>
                <w:sz w:val="20"/>
                <w:szCs w:val="20"/>
                <w:u w:val="none"/>
                <w:lang w:val="en-US" w:eastAsia="zh-CN" w:bidi="ar"/>
              </w:rPr>
              <w:t>液体处理体积</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液体处理体积：</w:t>
            </w:r>
            <w:r>
              <w:rPr>
                <w:rFonts w:hint="default" w:ascii="Times New Roman" w:hAnsi="Times New Roman" w:eastAsia="宋体" w:cs="Times New Roman"/>
                <w:i w:val="0"/>
                <w:color w:val="000000"/>
                <w:kern w:val="0"/>
                <w:sz w:val="20"/>
                <w:szCs w:val="20"/>
                <w:u w:val="none"/>
                <w:lang w:val="en-US" w:eastAsia="zh-CN" w:bidi="ar"/>
              </w:rPr>
              <w:t>10-3000</w:t>
            </w:r>
            <w:r>
              <w:rPr>
                <w:rFonts w:hint="eastAsia" w:ascii="宋体" w:hAnsi="宋体" w:eastAsia="宋体" w:cs="宋体"/>
                <w:i w:val="0"/>
                <w:color w:val="000000"/>
                <w:kern w:val="0"/>
                <w:sz w:val="20"/>
                <w:szCs w:val="20"/>
                <w:u w:val="none"/>
                <w:lang w:val="en-US" w:eastAsia="zh-CN" w:bidi="ar"/>
              </w:rPr>
              <w:t>μ</w:t>
            </w:r>
            <w:r>
              <w:rPr>
                <w:rFonts w:hint="default" w:ascii="Times New Roman" w:hAnsi="Times New Roman" w:eastAsia="宋体" w:cs="Times New Roman"/>
                <w:i w:val="0"/>
                <w:color w:val="000000"/>
                <w:kern w:val="0"/>
                <w:sz w:val="20"/>
                <w:szCs w:val="20"/>
                <w:u w:val="none"/>
                <w:lang w:val="en-US" w:eastAsia="zh-CN" w:bidi="ar"/>
              </w:rPr>
              <w:t>l</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2.14 </w:t>
            </w:r>
            <w:r>
              <w:rPr>
                <w:rFonts w:hint="eastAsia" w:ascii="宋体" w:hAnsi="宋体" w:eastAsia="宋体" w:cs="宋体"/>
                <w:i w:val="0"/>
                <w:color w:val="000000"/>
                <w:kern w:val="0"/>
                <w:sz w:val="20"/>
                <w:szCs w:val="20"/>
                <w:u w:val="none"/>
                <w:lang w:val="en-US" w:eastAsia="zh-CN" w:bidi="ar"/>
              </w:rPr>
              <w:t>加热模块</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温控范围</w:t>
            </w:r>
            <w:r>
              <w:rPr>
                <w:rFonts w:hint="default" w:ascii="Times New Roman" w:hAnsi="Times New Roman" w:eastAsia="宋体" w:cs="Times New Roman"/>
                <w:i w:val="0"/>
                <w:color w:val="000000"/>
                <w:kern w:val="0"/>
                <w:sz w:val="20"/>
                <w:szCs w:val="20"/>
                <w:u w:val="none"/>
                <w:lang w:val="en-US" w:eastAsia="zh-CN" w:bidi="ar"/>
              </w:rPr>
              <w:t>20-100</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2.15 </w:t>
            </w:r>
            <w:r>
              <w:rPr>
                <w:rFonts w:hint="eastAsia" w:ascii="宋体" w:hAnsi="宋体" w:eastAsia="宋体" w:cs="宋体"/>
                <w:i w:val="0"/>
                <w:color w:val="000000"/>
                <w:kern w:val="0"/>
                <w:sz w:val="20"/>
                <w:szCs w:val="20"/>
                <w:u w:val="none"/>
                <w:lang w:val="en-US" w:eastAsia="zh-CN" w:bidi="ar"/>
              </w:rPr>
              <w:t>致冷模块</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核酸保存处配备制冷模块，可冷却至</w:t>
            </w:r>
            <w:r>
              <w:rPr>
                <w:rFonts w:hint="default" w:ascii="Times New Roman" w:hAnsi="Times New Roman" w:eastAsia="宋体" w:cs="Times New Roman"/>
                <w:i w:val="0"/>
                <w:color w:val="000000"/>
                <w:kern w:val="0"/>
                <w:sz w:val="20"/>
                <w:szCs w:val="20"/>
                <w:u w:val="none"/>
                <w:lang w:val="en-US" w:eastAsia="zh-CN" w:bidi="ar"/>
              </w:rPr>
              <w:t>5-10</w:t>
            </w:r>
            <w:r>
              <w:rPr>
                <w:rFonts w:hint="eastAsia" w:ascii="宋体" w:hAnsi="宋体" w:eastAsia="宋体" w:cs="宋体"/>
                <w:i w:val="0"/>
                <w:color w:val="000000"/>
                <w:kern w:val="0"/>
                <w:sz w:val="20"/>
                <w:szCs w:val="20"/>
                <w:u w:val="none"/>
                <w:lang w:val="en-US" w:eastAsia="zh-CN" w:bidi="ar"/>
              </w:rPr>
              <w:t>℃</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2.16 </w:t>
            </w:r>
            <w:r>
              <w:rPr>
                <w:rFonts w:hint="eastAsia" w:ascii="宋体" w:hAnsi="宋体" w:eastAsia="宋体" w:cs="宋体"/>
                <w:i w:val="0"/>
                <w:color w:val="000000"/>
                <w:kern w:val="0"/>
                <w:sz w:val="20"/>
                <w:szCs w:val="20"/>
                <w:u w:val="none"/>
                <w:lang w:val="en-US" w:eastAsia="zh-CN" w:bidi="ar"/>
              </w:rPr>
              <w:t>反应前磁珠混匀</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仪器内置振荡装置</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2.17 </w:t>
            </w:r>
            <w:r>
              <w:rPr>
                <w:rFonts w:hint="eastAsia" w:ascii="宋体" w:hAnsi="宋体" w:eastAsia="宋体" w:cs="宋体"/>
                <w:i w:val="0"/>
                <w:color w:val="000000"/>
                <w:kern w:val="0"/>
                <w:sz w:val="20"/>
                <w:szCs w:val="20"/>
                <w:u w:val="none"/>
                <w:lang w:val="en-US" w:eastAsia="zh-CN" w:bidi="ar"/>
              </w:rPr>
              <w:t>紫外灯</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数量大于</w:t>
            </w:r>
            <w:r>
              <w:rPr>
                <w:rFonts w:hint="default" w:ascii="Times New Roman" w:hAnsi="Times New Roman" w:eastAsia="宋体" w:cs="Times New Roman"/>
                <w:i w:val="0"/>
                <w:color w:val="000000"/>
                <w:kern w:val="0"/>
                <w:sz w:val="20"/>
                <w:szCs w:val="20"/>
                <w:u w:val="none"/>
                <w:lang w:val="en-US" w:eastAsia="zh-CN" w:bidi="ar"/>
              </w:rPr>
              <w:t>2</w:t>
            </w:r>
            <w:r>
              <w:rPr>
                <w:rFonts w:hint="default" w:ascii="Times New Roman" w:hAnsi="Times New Roman" w:eastAsia="宋体" w:cs="Times New Roman"/>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2.18 </w:t>
            </w:r>
            <w:r>
              <w:rPr>
                <w:rFonts w:hint="eastAsia" w:ascii="宋体" w:hAnsi="宋体" w:eastAsia="宋体" w:cs="宋体"/>
                <w:i w:val="0"/>
                <w:color w:val="000000"/>
                <w:kern w:val="0"/>
                <w:sz w:val="20"/>
                <w:szCs w:val="20"/>
                <w:u w:val="none"/>
                <w:lang w:val="en-US" w:eastAsia="zh-CN" w:bidi="ar"/>
              </w:rPr>
              <w:t>自动检测功能</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2.19 </w:t>
            </w:r>
            <w:r>
              <w:rPr>
                <w:rFonts w:hint="eastAsia" w:ascii="宋体" w:hAnsi="宋体" w:eastAsia="宋体" w:cs="宋体"/>
                <w:i w:val="0"/>
                <w:color w:val="000000"/>
                <w:kern w:val="0"/>
                <w:sz w:val="20"/>
                <w:szCs w:val="20"/>
                <w:u w:val="none"/>
                <w:lang w:val="en-US" w:eastAsia="zh-CN" w:bidi="ar"/>
              </w:rPr>
              <w:t>凝块检测功能</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2.20 </w:t>
            </w:r>
            <w:r>
              <w:rPr>
                <w:rFonts w:hint="eastAsia" w:ascii="宋体" w:hAnsi="宋体" w:eastAsia="宋体" w:cs="宋体"/>
                <w:i w:val="0"/>
                <w:color w:val="000000"/>
                <w:kern w:val="0"/>
                <w:sz w:val="20"/>
                <w:szCs w:val="20"/>
                <w:u w:val="none"/>
                <w:lang w:val="en-US" w:eastAsia="zh-CN" w:bidi="ar"/>
              </w:rPr>
              <w:t>液体体积监测系统</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具备</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2.21 </w:t>
            </w:r>
            <w:r>
              <w:rPr>
                <w:rFonts w:hint="eastAsia" w:ascii="宋体" w:hAnsi="宋体" w:eastAsia="宋体" w:cs="宋体"/>
                <w:i w:val="0"/>
                <w:color w:val="000000"/>
                <w:kern w:val="0"/>
                <w:sz w:val="20"/>
                <w:szCs w:val="20"/>
                <w:u w:val="none"/>
                <w:lang w:val="en-US" w:eastAsia="zh-CN" w:bidi="ar"/>
              </w:rPr>
              <w:t>光学液体感应系统</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具备</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2.22 </w:t>
            </w:r>
            <w:r>
              <w:rPr>
                <w:rFonts w:hint="eastAsia" w:ascii="宋体" w:hAnsi="宋体" w:eastAsia="宋体" w:cs="宋体"/>
                <w:i w:val="0"/>
                <w:color w:val="000000"/>
                <w:kern w:val="0"/>
                <w:sz w:val="20"/>
                <w:szCs w:val="20"/>
                <w:u w:val="none"/>
                <w:lang w:val="en-US" w:eastAsia="zh-CN" w:bidi="ar"/>
              </w:rPr>
              <w:t>内置液滴捕获装置</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具备</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2.23 </w:t>
            </w:r>
            <w:r>
              <w:rPr>
                <w:rFonts w:hint="eastAsia" w:ascii="宋体" w:hAnsi="宋体" w:eastAsia="宋体" w:cs="宋体"/>
                <w:i w:val="0"/>
                <w:color w:val="000000"/>
                <w:kern w:val="0"/>
                <w:sz w:val="20"/>
                <w:szCs w:val="20"/>
                <w:u w:val="none"/>
                <w:lang w:val="en-US" w:eastAsia="zh-CN" w:bidi="ar"/>
              </w:rPr>
              <w:t>废液收集措施</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w:t>
            </w:r>
            <w:r>
              <w:rPr>
                <w:rFonts w:hint="default" w:ascii="Times New Roman" w:hAnsi="Times New Roman" w:eastAsia="宋体" w:cs="Times New Roman"/>
                <w:i w:val="0"/>
                <w:color w:val="000000"/>
                <w:kern w:val="0"/>
                <w:sz w:val="20"/>
                <w:szCs w:val="20"/>
                <w:u w:val="none"/>
                <w:lang w:val="en-US" w:eastAsia="zh-CN" w:bidi="ar"/>
              </w:rPr>
              <w:t xml:space="preserve">2.24 </w:t>
            </w:r>
            <w:r>
              <w:rPr>
                <w:rFonts w:hint="eastAsia" w:ascii="宋体" w:hAnsi="宋体" w:eastAsia="宋体" w:cs="宋体"/>
                <w:i w:val="0"/>
                <w:color w:val="000000"/>
                <w:kern w:val="0"/>
                <w:sz w:val="20"/>
                <w:szCs w:val="20"/>
                <w:u w:val="none"/>
                <w:lang w:val="en-US" w:eastAsia="zh-CN" w:bidi="ar"/>
              </w:rPr>
              <w:t>安全性设计</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具有专门废液收集、废弃耗材收集措施，严格进行固液分离处理，避免扩散污染；</w:t>
            </w:r>
            <w:r>
              <w:rPr>
                <w:rFonts w:hint="eastAsia" w:ascii="宋体" w:hAnsi="宋体" w:eastAsia="宋体" w:cs="宋体"/>
                <w:i w:val="0"/>
                <w:color w:val="000000"/>
                <w:kern w:val="0"/>
                <w:sz w:val="20"/>
                <w:szCs w:val="20"/>
                <w:u w:val="none"/>
                <w:lang w:val="en-US" w:eastAsia="zh-CN" w:bidi="ar"/>
              </w:rPr>
              <w:br w:type="textWrapping"/>
            </w:r>
            <w:r>
              <w:rPr>
                <w:rFonts w:hint="default" w:ascii="Times New Roman" w:hAnsi="Times New Roman" w:eastAsia="宋体" w:cs="Times New Roman"/>
                <w:i w:val="0"/>
                <w:color w:val="000000"/>
                <w:kern w:val="0"/>
                <w:sz w:val="20"/>
                <w:szCs w:val="20"/>
                <w:u w:val="none"/>
                <w:lang w:val="en-US" w:eastAsia="zh-CN" w:bidi="ar"/>
              </w:rPr>
              <w:t xml:space="preserve">2.25 </w:t>
            </w:r>
            <w:r>
              <w:rPr>
                <w:rFonts w:hint="eastAsia" w:ascii="宋体" w:hAnsi="宋体" w:eastAsia="宋体" w:cs="宋体"/>
                <w:i w:val="0"/>
                <w:color w:val="000000"/>
                <w:kern w:val="0"/>
                <w:sz w:val="20"/>
                <w:szCs w:val="20"/>
                <w:u w:val="none"/>
                <w:lang w:val="en-US" w:eastAsia="zh-CN" w:bidi="ar"/>
              </w:rPr>
              <w:t>控制系统</w:t>
            </w:r>
            <w:r>
              <w:rPr>
                <w:rFonts w:hint="default" w:ascii="Times New Roman" w:hAnsi="Times New Roman" w:eastAsia="宋体" w:cs="Times New Roman"/>
                <w:i w:val="0"/>
                <w:color w:val="000000"/>
                <w:kern w:val="0"/>
                <w:sz w:val="20"/>
                <w:szCs w:val="20"/>
                <w:u w:val="none"/>
                <w:lang w:val="en-US" w:eastAsia="zh-CN" w:bidi="ar"/>
              </w:rPr>
              <w:t xml:space="preserve"> </w:t>
            </w:r>
            <w:r>
              <w:rPr>
                <w:rFonts w:hint="eastAsia" w:ascii="宋体" w:hAnsi="宋体" w:eastAsia="宋体" w:cs="宋体"/>
                <w:i w:val="0"/>
                <w:color w:val="000000"/>
                <w:kern w:val="0"/>
                <w:sz w:val="20"/>
                <w:szCs w:val="20"/>
                <w:u w:val="none"/>
                <w:lang w:val="en-US" w:eastAsia="zh-CN" w:bidi="ar"/>
              </w:rPr>
              <w:t>可通过</w:t>
            </w:r>
            <w:r>
              <w:rPr>
                <w:rFonts w:hint="default" w:ascii="Times New Roman" w:hAnsi="Times New Roman" w:eastAsia="宋体" w:cs="Times New Roman"/>
                <w:i w:val="0"/>
                <w:color w:val="000000"/>
                <w:kern w:val="0"/>
                <w:sz w:val="20"/>
                <w:szCs w:val="20"/>
                <w:u w:val="none"/>
                <w:lang w:val="en-US" w:eastAsia="zh-CN" w:bidi="ar"/>
              </w:rPr>
              <w:t>LAN</w:t>
            </w:r>
            <w:r>
              <w:rPr>
                <w:rFonts w:hint="eastAsia" w:ascii="宋体" w:hAnsi="宋体" w:eastAsia="宋体" w:cs="宋体"/>
                <w:i w:val="0"/>
                <w:color w:val="000000"/>
                <w:kern w:val="0"/>
                <w:sz w:val="20"/>
                <w:szCs w:val="20"/>
                <w:u w:val="none"/>
                <w:lang w:val="en-US" w:eastAsia="zh-CN" w:bidi="ar"/>
              </w:rPr>
              <w:t>接入实验室信息管理系统</w:t>
            </w:r>
            <w:r>
              <w:rPr>
                <w:rFonts w:hint="default" w:ascii="Times New Roman" w:hAnsi="Times New Roman" w:eastAsia="宋体" w:cs="Times New Roman"/>
                <w:i w:val="0"/>
                <w:color w:val="000000"/>
                <w:kern w:val="0"/>
                <w:sz w:val="20"/>
                <w:szCs w:val="20"/>
                <w:u w:val="none"/>
                <w:lang w:val="en-US" w:eastAsia="zh-CN" w:bidi="ar"/>
              </w:rPr>
              <w:t>LIMS</w:t>
            </w:r>
            <w:r>
              <w:rPr>
                <w:rFonts w:hint="eastAsia" w:ascii="宋体" w:hAnsi="宋体" w:eastAsia="宋体" w:cs="宋体"/>
                <w:i w:val="0"/>
                <w:color w:val="000000"/>
                <w:kern w:val="0"/>
                <w:sz w:val="20"/>
                <w:szCs w:val="20"/>
                <w:u w:val="none"/>
                <w:lang w:val="en-US" w:eastAsia="zh-CN" w:bidi="ar"/>
              </w:rPr>
              <w:t>并进行数据传输；具备条形码扫描器</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7939" w:hRule="atLeast"/>
        </w:trPr>
        <w:tc>
          <w:tcPr>
            <w:tcW w:w="1116" w:type="dxa"/>
            <w:gridSpan w:val="3"/>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0"/>
                <w:szCs w:val="20"/>
                <w:u w:val="none"/>
              </w:rPr>
            </w:pPr>
          </w:p>
        </w:tc>
        <w:tc>
          <w:tcPr>
            <w:tcW w:w="55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售后服务</w:t>
            </w:r>
          </w:p>
        </w:tc>
        <w:tc>
          <w:tcPr>
            <w:tcW w:w="4952" w:type="dxa"/>
            <w:gridSpan w:val="8"/>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 软件 可控制不同的标本、不同目的的分离纯化流程</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3.2 硬件 全电脑控制</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3.3 联网功能要求 设备具有联网功能，通过一定的接口形式和数据格式将设备运行状态、关键系统参数、日志信息、体征、波形等信息传送给其他系统或平台, 监护设备需满足HL7协议，影像设备需满足DICOM协议</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3.4 接口和数据协议要求 设备厂商向院方提供详细的有关接口形式和数据传输协议的说明文档，交由物联网项目组验收,并配合院方解决设备联网相关问题</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3.5 大设备物联网要求 大型影像类设备提供原始日志信息上传和日志解释及结构化、标准化功能，按照院方要求将原始日志信息和结构化日志信息传送到医院物联网平台</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3.6 原厂保修年限 ≥3年，保修期内开机率不低于95%（按365日/年计算，含节假日)，未达到要求的开机率天数，按双倍天数顺延保修期。</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3.7 预防性维修/定期维护保养  保修期内按维修手册要求提供定期维护保养服务</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3.8 维修响应时间 维修到达现场时间≤0.5个工作日（京内）；维修到达现场时间≤3个工作日（京外）</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3.9 配件报价 提供消耗性配件（年平均更换大于1次的配件）和高值配件（价格大于设备成交价5%以上）的报价清单，且高值配件报价之和不得高于设备成交价的110% </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3.10 升级与软件维护 保修期内免费升级和软件维护；保修期外，原软件维护仅收工时费</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3.11 维修工时费计算方法及价格 至少提供按小时计费和按故障点计费两种方式，用户可自行选择</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3.12 专用工具、资料及其它 提供设备配套的维修专用工具（如有），资料（操作手册、维修手册等）</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3.13 培训 提供使用培训和工程师原厂培训</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3.15 交货期 合同签订后3个月内交货</w:t>
            </w:r>
          </w:p>
        </w:tc>
        <w:tc>
          <w:tcPr>
            <w:tcW w:w="11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Layout w:type="fixed"/>
          <w:tblCellMar>
            <w:top w:w="0" w:type="dxa"/>
            <w:left w:w="0" w:type="dxa"/>
            <w:bottom w:w="0" w:type="dxa"/>
            <w:right w:w="0" w:type="dxa"/>
          </w:tblCellMar>
        </w:tblPrEx>
        <w:trPr>
          <w:trHeight w:val="2055" w:hRule="atLeast"/>
        </w:trPr>
        <w:tc>
          <w:tcPr>
            <w:tcW w:w="9384" w:type="dxa"/>
            <w:gridSpan w:val="1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说明：1.加注“*”号的技术指标为关键指标，≥1项未达到招标文件要求，即做废标处理</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2.加注“·”号的技术指标为重要指标</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 xml:space="preserve">      3.加注“*”、“·”号的技术指标均需投标企业提供证明材料</w:t>
            </w:r>
          </w:p>
        </w:tc>
      </w:tr>
      <w:tr>
        <w:tblPrEx>
          <w:tblLayout w:type="fixed"/>
          <w:tblCellMar>
            <w:top w:w="0" w:type="dxa"/>
            <w:left w:w="0" w:type="dxa"/>
            <w:bottom w:w="0" w:type="dxa"/>
            <w:right w:w="0" w:type="dxa"/>
          </w:tblCellMar>
        </w:tblPrEx>
        <w:trPr>
          <w:trHeight w:val="570" w:hRule="atLeast"/>
        </w:trPr>
        <w:tc>
          <w:tcPr>
            <w:tcW w:w="9384" w:type="dxa"/>
            <w:gridSpan w:val="14"/>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医疗设备配套封闭耗材（非试剂类）用量测算表</w:t>
            </w:r>
          </w:p>
        </w:tc>
      </w:tr>
      <w:tr>
        <w:tblPrEx>
          <w:tblLayout w:type="fixed"/>
          <w:tblCellMar>
            <w:top w:w="0" w:type="dxa"/>
            <w:left w:w="0" w:type="dxa"/>
            <w:bottom w:w="0" w:type="dxa"/>
            <w:right w:w="0" w:type="dxa"/>
          </w:tblCellMar>
        </w:tblPrEx>
        <w:trPr>
          <w:trHeight w:val="540" w:hRule="atLeast"/>
        </w:trPr>
        <w:tc>
          <w:tcPr>
            <w:tcW w:w="913" w:type="dxa"/>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设备名称</w:t>
            </w:r>
          </w:p>
        </w:tc>
        <w:tc>
          <w:tcPr>
            <w:tcW w:w="3551" w:type="dxa"/>
            <w:gridSpan w:val="7"/>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全自动核酸纯化仪</w:t>
            </w:r>
          </w:p>
        </w:tc>
        <w:tc>
          <w:tcPr>
            <w:tcW w:w="278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项目编号</w:t>
            </w:r>
          </w:p>
        </w:tc>
        <w:tc>
          <w:tcPr>
            <w:tcW w:w="214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4"/>
                <w:szCs w:val="24"/>
                <w:u w:val="none"/>
              </w:rPr>
            </w:pPr>
            <w:r>
              <w:rPr>
                <w:rFonts w:hint="eastAsia" w:ascii="黑体" w:hAnsi="宋体" w:eastAsia="黑体" w:cs="黑体"/>
                <w:i w:val="0"/>
                <w:color w:val="000000"/>
                <w:sz w:val="24"/>
                <w:szCs w:val="24"/>
                <w:u w:val="none"/>
              </w:rPr>
              <w:t>2022-JQ06-W3783</w:t>
            </w:r>
          </w:p>
        </w:tc>
      </w:tr>
      <w:tr>
        <w:tblPrEx>
          <w:tblLayout w:type="fixed"/>
          <w:tblCellMar>
            <w:top w:w="0" w:type="dxa"/>
            <w:left w:w="0" w:type="dxa"/>
            <w:bottom w:w="0" w:type="dxa"/>
            <w:right w:w="0" w:type="dxa"/>
          </w:tblCellMar>
        </w:tblPrEx>
        <w:trPr>
          <w:trHeight w:val="690" w:hRule="atLeast"/>
        </w:trPr>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250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一次性耗材名称</w:t>
            </w:r>
          </w:p>
        </w:tc>
        <w:tc>
          <w:tcPr>
            <w:tcW w:w="104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简称</w:t>
            </w:r>
          </w:p>
        </w:tc>
        <w:tc>
          <w:tcPr>
            <w:tcW w:w="278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单台设备配套耗材预估3年用量</w:t>
            </w:r>
          </w:p>
        </w:tc>
        <w:tc>
          <w:tcPr>
            <w:tcW w:w="214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795" w:hRule="atLeast"/>
        </w:trPr>
        <w:tc>
          <w:tcPr>
            <w:tcW w:w="91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c>
          <w:tcPr>
            <w:tcW w:w="250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MP96收集板</w:t>
            </w:r>
          </w:p>
        </w:tc>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收集板</w:t>
            </w:r>
          </w:p>
        </w:tc>
        <w:tc>
          <w:tcPr>
            <w:tcW w:w="278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21000</w:t>
            </w:r>
          </w:p>
        </w:tc>
        <w:tc>
          <w:tcPr>
            <w:tcW w:w="214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b/>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w:t>
            </w:r>
          </w:p>
        </w:tc>
        <w:tc>
          <w:tcPr>
            <w:tcW w:w="2505" w:type="dxa"/>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MP96试剂槽</w:t>
            </w:r>
          </w:p>
        </w:tc>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试剂槽</w:t>
            </w:r>
          </w:p>
        </w:tc>
        <w:tc>
          <w:tcPr>
            <w:tcW w:w="278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21000</w:t>
            </w:r>
          </w:p>
        </w:tc>
        <w:tc>
          <w:tcPr>
            <w:tcW w:w="214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w:t>
            </w:r>
          </w:p>
        </w:tc>
        <w:tc>
          <w:tcPr>
            <w:tcW w:w="2505"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MP96枪头</w:t>
            </w:r>
          </w:p>
        </w:tc>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枪头</w:t>
            </w:r>
          </w:p>
        </w:tc>
        <w:tc>
          <w:tcPr>
            <w:tcW w:w="278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21000</w:t>
            </w:r>
          </w:p>
        </w:tc>
        <w:tc>
          <w:tcPr>
            <w:tcW w:w="214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60" w:hRule="atLeast"/>
        </w:trPr>
        <w:tc>
          <w:tcPr>
            <w:tcW w:w="91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505" w:type="dxa"/>
            <w:gridSpan w:val="5"/>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80"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4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1470" w:hRule="atLeast"/>
        </w:trPr>
        <w:tc>
          <w:tcPr>
            <w:tcW w:w="9384" w:type="dxa"/>
            <w:gridSpan w:val="1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说明：“必须开展的检测治疗所使用的耗材”是指临床已经批准并依托此设备开展的的诊疗项目配套使用的一次性耗材（供应商必须响应）。</w:t>
            </w:r>
          </w:p>
        </w:tc>
      </w:tr>
      <w:tr>
        <w:tblPrEx>
          <w:tblLayout w:type="fixed"/>
          <w:tblCellMar>
            <w:top w:w="0" w:type="dxa"/>
            <w:left w:w="0" w:type="dxa"/>
            <w:bottom w:w="0" w:type="dxa"/>
            <w:right w:w="0" w:type="dxa"/>
          </w:tblCellMar>
        </w:tblPrEx>
        <w:trPr>
          <w:trHeight w:val="570" w:hRule="atLeast"/>
        </w:trPr>
        <w:tc>
          <w:tcPr>
            <w:tcW w:w="9384" w:type="dxa"/>
            <w:gridSpan w:val="14"/>
            <w:tcBorders>
              <w:top w:val="nil"/>
              <w:left w:val="nil"/>
              <w:bottom w:val="nil"/>
              <w:right w:val="nil"/>
            </w:tcBorders>
            <w:noWrap/>
            <w:tcMar>
              <w:top w:w="15" w:type="dxa"/>
              <w:left w:w="15" w:type="dxa"/>
              <w:right w:w="15"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lang w:val="en-US" w:eastAsia="zh-CN" w:bidi="ar"/>
              </w:rPr>
              <w:t>医疗设备配套封闭试剂用量测算表</w:t>
            </w:r>
          </w:p>
        </w:tc>
      </w:tr>
      <w:tr>
        <w:tblPrEx>
          <w:tblLayout w:type="fixed"/>
          <w:tblCellMar>
            <w:top w:w="0" w:type="dxa"/>
            <w:left w:w="0" w:type="dxa"/>
            <w:bottom w:w="0" w:type="dxa"/>
            <w:right w:w="0" w:type="dxa"/>
          </w:tblCellMar>
        </w:tblPrEx>
        <w:trPr>
          <w:trHeight w:val="540" w:hRule="atLeast"/>
        </w:trPr>
        <w:tc>
          <w:tcPr>
            <w:tcW w:w="1046" w:type="dxa"/>
            <w:gridSpan w:val="2"/>
            <w:tcBorders>
              <w:top w:val="single" w:color="000000" w:sz="4" w:space="0"/>
              <w:left w:val="single" w:color="000000" w:sz="4" w:space="0"/>
              <w:bottom w:val="nil"/>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设备名称</w:t>
            </w:r>
          </w:p>
        </w:tc>
        <w:tc>
          <w:tcPr>
            <w:tcW w:w="3418" w:type="dxa"/>
            <w:gridSpan w:val="6"/>
            <w:tcBorders>
              <w:top w:val="single" w:color="000000" w:sz="4" w:space="0"/>
              <w:left w:val="single" w:color="000000" w:sz="4" w:space="0"/>
              <w:bottom w:val="nil"/>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全自动核酸纯化仪</w:t>
            </w:r>
          </w:p>
        </w:tc>
        <w:tc>
          <w:tcPr>
            <w:tcW w:w="278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项目编号</w:t>
            </w:r>
          </w:p>
        </w:tc>
        <w:tc>
          <w:tcPr>
            <w:tcW w:w="214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黑体" w:hAnsi="宋体" w:eastAsia="黑体" w:cs="黑体"/>
                <w:i w:val="0"/>
                <w:color w:val="000000"/>
                <w:sz w:val="24"/>
                <w:szCs w:val="24"/>
                <w:u w:val="none"/>
              </w:rPr>
            </w:pPr>
            <w:r>
              <w:rPr>
                <w:rFonts w:hint="eastAsia" w:ascii="黑体" w:hAnsi="宋体" w:eastAsia="黑体" w:cs="黑体"/>
                <w:i w:val="0"/>
                <w:color w:val="000000"/>
                <w:sz w:val="24"/>
                <w:szCs w:val="24"/>
                <w:u w:val="none"/>
              </w:rPr>
              <w:t>2022-JQ06-W3783</w:t>
            </w:r>
          </w:p>
        </w:tc>
      </w:tr>
      <w:tr>
        <w:tblPrEx>
          <w:tblLayout w:type="fixed"/>
          <w:tblCellMar>
            <w:top w:w="0" w:type="dxa"/>
            <w:left w:w="0" w:type="dxa"/>
            <w:bottom w:w="0" w:type="dxa"/>
            <w:right w:w="0" w:type="dxa"/>
          </w:tblCellMar>
        </w:tblPrEx>
        <w:trPr>
          <w:trHeight w:val="915" w:hRule="atLeast"/>
        </w:trPr>
        <w:tc>
          <w:tcPr>
            <w:tcW w:w="104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2372"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检测（治疗）项目</w:t>
            </w:r>
          </w:p>
        </w:tc>
        <w:tc>
          <w:tcPr>
            <w:tcW w:w="104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简称</w:t>
            </w:r>
          </w:p>
        </w:tc>
        <w:tc>
          <w:tcPr>
            <w:tcW w:w="2780" w:type="dxa"/>
            <w:gridSpan w:val="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单台设备预估3年</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检测（治疗）数量</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（人份/台）</w:t>
            </w:r>
          </w:p>
        </w:tc>
        <w:tc>
          <w:tcPr>
            <w:tcW w:w="2140"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795" w:hRule="atLeast"/>
        </w:trPr>
        <w:tc>
          <w:tcPr>
            <w:tcW w:w="104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w:t>
            </w:r>
          </w:p>
        </w:tc>
        <w:tc>
          <w:tcPr>
            <w:tcW w:w="2372" w:type="dxa"/>
            <w:gridSpan w:val="4"/>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核酸提取或纯化试剂</w:t>
            </w:r>
          </w:p>
        </w:tc>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提取试剂</w:t>
            </w:r>
          </w:p>
        </w:tc>
        <w:tc>
          <w:tcPr>
            <w:tcW w:w="2780"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21000</w:t>
            </w:r>
          </w:p>
        </w:tc>
        <w:tc>
          <w:tcPr>
            <w:tcW w:w="214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360" w:hRule="atLeast"/>
        </w:trPr>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w:t>
            </w:r>
          </w:p>
        </w:tc>
        <w:tc>
          <w:tcPr>
            <w:tcW w:w="237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缓冲液</w:t>
            </w:r>
          </w:p>
        </w:tc>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缓冲液</w:t>
            </w:r>
          </w:p>
        </w:tc>
        <w:tc>
          <w:tcPr>
            <w:tcW w:w="2780"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21000</w:t>
            </w:r>
          </w:p>
        </w:tc>
        <w:tc>
          <w:tcPr>
            <w:tcW w:w="214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360" w:hRule="atLeast"/>
        </w:trPr>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372"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c>
          <w:tcPr>
            <w:tcW w:w="1046"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80" w:type="dxa"/>
            <w:gridSpan w:val="4"/>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140" w:type="dxa"/>
            <w:gridSpan w:val="2"/>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1470" w:hRule="atLeast"/>
        </w:trPr>
        <w:tc>
          <w:tcPr>
            <w:tcW w:w="9384" w:type="dxa"/>
            <w:gridSpan w:val="14"/>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说明：“医疗设备开展的检测治疗项目”是指使用科室根据学科建设规划或近年业务开展情况，填报拟采购设备所开展项目的3年检测(治疗)预估量。</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680380"/>
    <w:rsid w:val="536803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pPr>
    <w:rPr>
      <w:rFonts w:hint="eastAsia" w:ascii="黑体" w:hAnsi="黑体" w:eastAsia="黑体" w:cs="Times New Roman"/>
      <w:color w:val="000000"/>
      <w:sz w:val="24"/>
      <w:szCs w:val="22"/>
      <w:lang w:val="en-US" w:eastAsia="zh-CN" w:bidi="ar-SA"/>
    </w:rPr>
  </w:style>
  <w:style w:type="character" w:customStyle="1" w:styleId="5">
    <w:name w:val="font112"/>
    <w:basedOn w:val="4"/>
    <w:qFormat/>
    <w:uiPriority w:val="0"/>
    <w:rPr>
      <w:rFonts w:hint="eastAsia" w:ascii="黑体" w:hAnsi="宋体" w:eastAsia="黑体" w:cs="黑体"/>
      <w:color w:val="000000"/>
      <w:sz w:val="20"/>
      <w:szCs w:val="20"/>
      <w:u w:val="none"/>
    </w:rPr>
  </w:style>
  <w:style w:type="character" w:customStyle="1" w:styleId="6">
    <w:name w:val="font171"/>
    <w:basedOn w:val="4"/>
    <w:qFormat/>
    <w:uiPriority w:val="0"/>
    <w:rPr>
      <w:rFonts w:ascii="楷体_GB2312" w:eastAsia="楷体_GB2312" w:cs="楷体_GB2312"/>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2023-05-09T03:20:00Z</dcterms:created>
  <dc:creator>Administrator</dc:creator>
  <cp:lastModifiedBy>Administrator</cp:lastModifiedBy>
  <dcterms:modified xsi:type="dcterms:W3CDTF">2023-05-09T03:20:54Z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