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8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3"/>
        <w:gridCol w:w="573"/>
        <w:gridCol w:w="1455"/>
        <w:gridCol w:w="1244"/>
        <w:gridCol w:w="1375"/>
        <w:gridCol w:w="730"/>
        <w:gridCol w:w="890"/>
        <w:gridCol w:w="1010"/>
        <w:gridCol w:w="92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38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技术需求表（通用物资）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核酸片段分析系统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数量（项）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预算总金额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需求类别</w:t>
            </w: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技术参数和需求内容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rFonts w:ascii="宋体" w:hAnsi="宋体" w:eastAsia="宋体" w:cs="宋体"/>
                <w:sz w:val="24"/>
                <w:szCs w:val="24"/>
                <w:lang w:val="en-US" w:eastAsia="zh-CN" w:bidi="ar"/>
              </w:rPr>
              <w:t>符合性要求</w:t>
            </w:r>
            <w:r>
              <w:rPr>
                <w:rFonts w:ascii="楷体_GB2312" w:hAnsi="宋体" w:eastAsia="楷体_GB2312" w:cs="楷体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（*号指标或其他必须响应条款）</w:t>
            </w: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自动分析核酸片段，完成测序文库质量检测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1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5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分析主机一台、操作电脑一台、分析软件一套、1个预制胶卡夹、DNA  Alignment  Marker 1支、DNA  SIZE  Marker 1 支、缓冲液试剂一套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1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其他符合性条款</w:t>
            </w:r>
          </w:p>
        </w:tc>
        <w:tc>
          <w:tcPr>
            <w:tcW w:w="5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18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rFonts w:ascii="宋体" w:hAnsi="宋体" w:eastAsia="宋体" w:cs="宋体"/>
                <w:sz w:val="24"/>
                <w:szCs w:val="24"/>
                <w:lang w:val="en-US" w:eastAsia="zh-CN" w:bidi="ar"/>
              </w:rPr>
              <w:t>资格性要求</w:t>
            </w:r>
            <w:r>
              <w:rPr>
                <w:rFonts w:ascii="楷体_GB2312" w:hAnsi="宋体" w:eastAsia="楷体_GB2312" w:cs="楷体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（指对产品或企业投标资格的要求）</w:t>
            </w: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产品资格</w:t>
            </w:r>
          </w:p>
        </w:tc>
        <w:tc>
          <w:tcPr>
            <w:tcW w:w="5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1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企业资格</w:t>
            </w:r>
          </w:p>
        </w:tc>
        <w:tc>
          <w:tcPr>
            <w:tcW w:w="5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其他资格性条款</w:t>
            </w:r>
          </w:p>
        </w:tc>
        <w:tc>
          <w:tcPr>
            <w:tcW w:w="5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8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技术性要求</w:t>
            </w: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技术力量</w:t>
            </w:r>
          </w:p>
        </w:tc>
        <w:tc>
          <w:tcPr>
            <w:tcW w:w="5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1" w:hRule="atLeast"/>
        </w:trPr>
        <w:tc>
          <w:tcPr>
            <w:tcW w:w="11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性能指标</w:t>
            </w:r>
          </w:p>
        </w:tc>
        <w:tc>
          <w:tcPr>
            <w:tcW w:w="5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1、功能：采用毛细管电泳原理，可应用于DNA、RNA等核酸的电泳分析，能进行全自动的核酸片段大小测定，核酸质控，浓度测定，具有≤2bp-3bp分辨率的高分辨率功能；具有蛋白电泳功能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2、光源：LED光源，高灵敏度的光电倍增管检测；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3、自动化程度：采用预装式卡夹，无须人工制胶、灌胶，全过程全部由仪器自动完成；每轮分析后，仪器自动清洗毛细管；无需手工添加染料，无需人工更换毛细管模块；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·4、上样形式：直接兼容常规单管0.2ml离心管、常规8联管；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*5、可单次自动检测处理单个样本不造成浪费；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6、分析时间最快可达1-2分钟内完成一次电泳；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*7、检测片段范围：15bp-50kb，可以检测大于50kb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8、灵敏度：无需对样品进行纯化，可以直接对PCR产物原液进行检测。DNA样品的检测灵敏度可达5＜pg/ul；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9、样品上样量：小于0.1 ul；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*10、分辨率：对&lt;500bp的DNA片段，可达1-4bp的分辨率，200bp片段可达2bp的分辨率;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*11、软件功能：软件可以自动输出电泳胶图、峰图、样品浓度、片段大小等一系列数据，并可以以报告形式完整打印输出； PDF， WORD，JPG都可以输出；具有NGS片段分析功能；同时具有英文版本软件和中文版本软件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12、无污染：系统中仪器、耗材及检测过程均为全封闭式，避免了核酸染色剂等有害物质与操作人员的接触；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13、可选择通卡夹配件，在仪器外部对卡夹进行通胶，可以对卡夹中毛细管中的胶进行更好的置换，对过期卡夹或者保存不当卡夹进行处理。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14、采用空气压缩机或其他给压装置，操作方便，小巧便于放置和移动，无需氮气钢瓶，无需后期灌气；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2" w:hRule="atLeast"/>
        </w:trPr>
        <w:tc>
          <w:tcPr>
            <w:tcW w:w="11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•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务</w:t>
            </w:r>
          </w:p>
        </w:tc>
        <w:tc>
          <w:tcPr>
            <w:tcW w:w="5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1.原厂保修年限≥1年，保修期内开机率不低于95%（按365日/年计算，含节假日)，未达到要求的开机率天数，按双倍天数顺延保修期;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2.保修期内按维修手册要求提供定期维护保养服务;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3.维修到达现场时间≤0.5个工作日（京内）,维修到达现场时间≤3个工作日（京外）;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4.保修期内免费升级和软件维护；保修期外，原软件维护仅收工时费;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5.至少提供按小时计费和按故障点计费两种方式，用户可自行选择;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6.提供设备配套的维修专用工具（如有），资料（操作手册、维修手册等）;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7.提供使用培训和工程师原厂培训;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8.合同签订后3个月内交货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938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说明：1.加注“*”号的技术指标为关键指标，≥1项未达到招标文件要求，即做废标处理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2.加注“·”号的技术指标为重要指标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3.加注“*”、“·”号的技术指标均需投标企业提供证明材料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358FD"/>
    <w:rsid w:val="1043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character" w:customStyle="1" w:styleId="5">
    <w:name w:val="font132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2023-05-09T03:18:00Z</dcterms:created>
  <dc:creator>Administrator</dc:creator>
  <cp:lastModifiedBy>Administrator</cp:lastModifiedBy>
  <dcterms:modified xsi:type="dcterms:W3CDTF">2023-05-09T03:18:56Z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